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\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67</TotalTime>
  <ScaleCrop>false</ScaleCrop>
  <LinksUpToDate>false</LinksUpToDate>
  <CharactersWithSpaces>310</CharactersWithSpaces>
  <Application>WPS Office_11.8.2.9958_F1E327BC-269C-435d-A152-05C5408002CA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2017-09-30T18:20:00Z</dcterms:created>
  <dc:creator>Administrator</dc:creator>
  <cp:lastModifiedBy>kylin</cp:lastModifiedBy>
  <cp:lastPrinted>2022-09-17T08:08:00Z</cp:lastPrinted>
  <dcterms:modified xsi:type="dcterms:W3CDTF">2022-09-29T14:43:24Z</dcterms:modified>
  <cp:revision>3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5B77E7CE-EC58-BC6A-FAE8-886BEB80DBEB}" pid="3" name="5B77E7CEEC58BC6AFAE8886BEB80DBEB">
    <vt:lpwstr>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</vt:lpwstr>
  </property>
</Properties>
</file>

<file path=word\_rels\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年食糖进口关税配额申请和分配细则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根据商务部、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发展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改革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委员会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令2003年第4号（《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HYPERLINK "http://ncpimp.mofcom.gov.cn/" \t "_blank"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农产品进口关税配额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管理暂行办法》），商务部制定了202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instrText xml:space="preserve"> HYPERLINK "javascript:void(0)" </w:instrTex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进口关税配额申请和分配细则。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一、关税配额总量和种类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年食糖进口关税配额总量为194.5万吨，其中70%为国营贸易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企业可自主选择申请：（1）国营贸易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配额；（2）非国营贸易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配额；（3）国营贸易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配额和非国营贸易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配额。其中，分配给企业的国营贸易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配额，须通过国营贸易企业代理进口，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国营贸易企业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在当年8月15日前未签订进口合同的，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获得关税配额的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企业可以自行进口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或委托其他企业进口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二、申请条件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有资格获得202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年食糖进口关税配额的企业须首先符合以下条件：20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年10月1日前在市场监督管理部门登记注册；未列入“信用中国”网站受惩黑名单；没有违反《农产品进口关税配额管理暂行办法》的行为；符合国家产业政策和《产业结构调整指导目录》相关规定。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除上述条件外，申请企业还必须符合以下所列条件之一：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（一）获得20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年食糖关税配额且有进口实绩（接受关税配额企业委托的代理进口不计入受委托企业的进口实绩）的企业；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年日加工原糖600吨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以上（含600吨）或食糖年销售额4.5亿元以上（含4.5亿元）的食糖生产企业；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（三）以食糖为原料从事加工贸易的企业。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三、分配原则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如本《细则》所公布的进口关税配额总量能够满足符合条件企业的申请总量，按企业申请数量分配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如本《细则》所公布的进口关税配额总量不能满足符合条件企业的申请总量，则有进口实绩的企业分得的配额量不少于其上一年配额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内的进口量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。如有剩余配额，在考虑生产加工能力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及销售额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的基础上，分配给上一年无进口实绩的企业。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如获得关税配额的企业未能完成配额内的全部进口量，则按《农产品进口关税配额管理暂行办法》相关罚则规定处理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四、申请材料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（一）农产品进口关税配额申请表；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（二）企业法人营业执照（副本）复印件；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2022年食糖及制品的销售增值税专用发票（复印件）一张；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（四）食品生产许可证（申请一般贸易配额的生产企业提供）;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（五）主管部门对建设项目的批复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或备案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文件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以及竣工验收报告（原糖加工企业提供）。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五、申请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时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（一）商务部委托省级地方商务主管部门（以下简称商务部委托机构）接收企业申请材料。申请者于20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年10月15日至30日向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注册所在地的商务部委托机构提交申请。《202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年食糖进口关税配额申请表》（见附1）可从商务部网站（http://www.mofcom.gov.cn）下载。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（二）商务部委托机构于20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年11月15日前将符合条件的书面申请材料送达商务部（行政事务服务大厅），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申请表中所包含的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信息上传至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农产品进口关税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配额管理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。逾期不再受理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商务部委托机构寄送书面申请材料需注明：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北京市东长安街2号商务部行政事务服务大厅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项目编码18015-001(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进口关税配额申请材料)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邮编:100731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（联系电话：010-6519786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公示阶段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 为方便公众协助商务部对申请企业所提交信息的真实性进行核实，商务部将在官方网站上对申请企业信息进行公示（公示期和举报意见提交方式将在公示时一并规定）。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（二）公示期内，任何主体均可就所公示信息的真实性进行举报。公众提交举报意见的期限届满后，商务部将委托被举报申请企业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注册所在地的委托机构进行核查。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（三）核查期间，被举报申请企业有权通过书面等方式，就所举报的相关问题向委托机构提出异议。委托机构审阅被举报企业提出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异议并完成调查核实后，向商务部就举报意见的真实性反馈核查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七、其他规则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（一）企业对其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材料和信息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的真实性承担主体责任，对虚假申报或拒不履行其在申请表中所作承诺的失信者，有关部门将按照国家有关规定采取相应惩戒措施。对伪造有关资料骗取《农产品进口关税配额证》的企业，除依法收缴其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关税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配额证外，两年内不再受理其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（二）对伪造、变造或者买卖《农产品进口关税配额证》的企业，依照有关法律规定追究其刑事责任，且两年内不再受理其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食糖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进口关税配额的申请。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附：1.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年食糖进口关税配额申请表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1280" w:firstLineChars="4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食糖进口税目表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附1</w:t>
      </w:r>
    </w:p>
    <w:p>
      <w:pPr>
        <w:spacing w:line="588" w:lineRule="exact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食糖进口关税配额申请表</w:t>
      </w:r>
    </w:p>
    <w:p>
      <w:pPr>
        <w:ind w:right="-733" w:rightChars="-349"/>
        <w:jc w:val="right"/>
        <w:rPr>
          <w:rFonts w:hint="default" w:ascii="LinTimes" w:hAnsi="LinTimes" w:eastAsia="仿宋_GB2312" w:cs="LinTimes"/>
          <w:b w:val="0"/>
          <w:bCs/>
          <w:szCs w:val="21"/>
        </w:rPr>
      </w:pPr>
      <w:r>
        <w:rPr>
          <w:rFonts w:hint="default" w:ascii="LinTimes" w:hAnsi="LinTimes" w:eastAsia="仿宋_GB2312" w:cs="LinTimes"/>
          <w:b w:val="0"/>
          <w:bCs/>
          <w:szCs w:val="21"/>
          <w:lang w:val="en-US" w:eastAsia="zh-CN"/>
        </w:rPr>
        <w:t xml:space="preserve">   </w:t>
      </w:r>
      <w:r>
        <w:rPr>
          <w:rFonts w:hint="default" w:ascii="LinTimes" w:hAnsi="LinTimes" w:eastAsia="仿宋_GB2312" w:cs="LinTimes"/>
          <w:b w:val="0"/>
          <w:bCs/>
          <w:szCs w:val="21"/>
        </w:rPr>
        <w:t>数量单位：吨</w:t>
      </w:r>
    </w:p>
    <w:tbl>
      <w:tblPr>
        <w:tblStyle w:val="6"/>
        <w:tblW w:w="10012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950"/>
        <w:gridCol w:w="2175"/>
        <w:gridCol w:w="201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企业注册地址：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企业性质：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□国有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□股份制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□民营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  □外商投资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</w:pP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>联系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  <w:lang w:eastAsia="zh-CN"/>
              </w:rPr>
              <w:t>人及联系</w:t>
            </w:r>
            <w:r>
              <w:rPr>
                <w:rFonts w:hint="default" w:ascii="LinTimes" w:hAnsi="LinTimes" w:eastAsia="仿宋_GB2312" w:cs="LinTimes"/>
                <w:b w:val="0"/>
                <w:bCs/>
                <w:kern w:val="0"/>
                <w:szCs w:val="21"/>
              </w:rPr>
              <w:t xml:space="preserve">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6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2022年是否获得关税配额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未获得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配额种类、数量及贸易方式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经营情况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该产品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产量：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食糖年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该产品年销售额（万元）：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以下由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获得年度关税配额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的企业填写（不包括代理进口）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配额量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实际进口量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（核销量）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vAlign w:val="center"/>
          </w:tcPr>
          <w:p>
            <w:pPr>
              <w:ind w:right="-220" w:rightChars="-105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中期调整退回量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0012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是否同意对外提供本企业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数量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exact"/>
        </w:trPr>
        <w:tc>
          <w:tcPr>
            <w:tcW w:w="10012" w:type="dxa"/>
            <w:gridSpan w:val="5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本企业已阅知《202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食糖进口关税配额申请和分配细则》相关内容，并郑重承诺本企业符合食糖进口关税配额申请条件，提交的食糖进口关税配额各项申报材料真实、准确、有效；获得食糖进口关税配额后，保证按照国家有关法律、法规、规章开展进口业务。如违反本承诺，愿承担相应法律责任和后果，并接受相关惩戒。</w:t>
            </w: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申请企业（盖章）             企业法人代表人（签字）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                日期：</w:t>
            </w:r>
          </w:p>
        </w:tc>
      </w:tr>
    </w:tbl>
    <w:p>
      <w:pPr>
        <w:spacing w:line="280" w:lineRule="exact"/>
        <w:ind w:left="0" w:leftChars="-295" w:hanging="619" w:hangingChars="295"/>
        <w:rPr>
          <w:rStyle w:val="8"/>
          <w:rFonts w:hint="default" w:ascii="LinTimes" w:hAnsi="LinTimes" w:eastAsia="仿宋_GB2312" w:cs="LinTimes"/>
          <w:b w:val="0"/>
          <w:bCs w:val="0"/>
          <w:szCs w:val="21"/>
          <w:lang w:eastAsia="zh-CN"/>
        </w:rPr>
      </w:pPr>
      <w:r>
        <w:rPr>
          <w:rStyle w:val="8"/>
          <w:rFonts w:hint="default" w:ascii="LinTimes" w:hAnsi="LinTimes" w:eastAsia="仿宋_GB2312" w:cs="LinTimes"/>
          <w:b w:val="0"/>
          <w:bCs w:val="0"/>
          <w:szCs w:val="21"/>
          <w:lang w:eastAsia="zh-CN"/>
        </w:rPr>
        <w:t>填表说明：</w:t>
      </w:r>
    </w:p>
    <w:p>
      <w:pPr>
        <w:numPr>
          <w:ilvl w:val="0"/>
          <w:numId w:val="0"/>
        </w:numPr>
        <w:spacing w:line="280" w:lineRule="exact"/>
        <w:ind w:leftChars="-690"/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</w:pPr>
      <w:r>
        <w:rPr>
          <w:rStyle w:val="8"/>
          <w:rFonts w:hint="default" w:ascii="LinTimes" w:hAnsi="LinTimes" w:eastAsia="仿宋_GB2312" w:cs="LinTimes"/>
          <w:b w:val="0"/>
          <w:bCs w:val="0"/>
          <w:szCs w:val="21"/>
          <w:lang w:val="en-US" w:eastAsia="zh-CN"/>
        </w:rPr>
        <w:t xml:space="preserve">    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1.企业名称与统一社会信用代码必须一一对应，一码一申请。</w:t>
      </w:r>
    </w:p>
    <w:p>
      <w:pPr>
        <w:numPr>
          <w:ilvl w:val="0"/>
          <w:numId w:val="0"/>
        </w:numPr>
        <w:spacing w:line="280" w:lineRule="exact"/>
        <w:ind w:leftChars="-690" w:right="-932" w:rightChars="-444"/>
        <w:rPr>
          <w:rFonts w:hint="default" w:ascii="Times New Roman" w:hAnsi="Times New Roman" w:cs="Times New Roma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    2.在“申请关税配额种类”中，企业可勾选非国营贸易关税配额，或者国营贸易关税配额，或者两者皆勾选。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default" w:ascii="LinTimes" w:hAnsi="LinTimes" w:cs="LinTimes"/>
          <w:kern w:val="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0"/>
          <w:szCs w:val="30"/>
        </w:rPr>
        <w:t>附2</w:t>
      </w:r>
      <w:r>
        <w:rPr>
          <w:rFonts w:hint="default" w:ascii="LinTimes" w:hAnsi="LinTimes" w:cs="LinTimes"/>
          <w:kern w:val="0"/>
          <w:sz w:val="32"/>
          <w:szCs w:val="32"/>
        </w:rPr>
        <w:t> </w:t>
      </w:r>
    </w:p>
    <w:p>
      <w:pPr>
        <w:spacing w:line="588" w:lineRule="exact"/>
        <w:jc w:val="center"/>
        <w:rPr>
          <w:rFonts w:hint="default" w:ascii="LinTimes" w:hAnsi="LinTimes" w:eastAsia="黑体" w:cs="LinTimes"/>
          <w:b w:val="0"/>
          <w:bCs/>
          <w:sz w:val="28"/>
          <w:szCs w:val="28"/>
        </w:rPr>
      </w:pPr>
      <w:r>
        <w:rPr>
          <w:rFonts w:hint="default" w:ascii="LinTimes" w:hAnsi="LinTimes" w:eastAsia="黑体" w:cs="LinTimes"/>
          <w:b w:val="0"/>
          <w:bCs/>
          <w:sz w:val="28"/>
          <w:szCs w:val="28"/>
        </w:rPr>
        <w:t>食糖进口税目表</w:t>
      </w:r>
    </w:p>
    <w:p>
      <w:pPr>
        <w:widowControl/>
        <w:jc w:val="left"/>
        <w:rPr>
          <w:rFonts w:hint="default" w:ascii="LinTimes" w:hAnsi="LinTimes" w:cs="LinTimes"/>
          <w:kern w:val="0"/>
          <w:sz w:val="24"/>
        </w:rPr>
      </w:pPr>
      <w:r>
        <w:rPr>
          <w:rFonts w:hint="default" w:ascii="LinTimes" w:hAnsi="LinTimes" w:cs="LinTimes"/>
          <w:kern w:val="0"/>
          <w:sz w:val="24"/>
        </w:rPr>
        <w:t> </w:t>
      </w:r>
    </w:p>
    <w:tbl>
      <w:tblPr>
        <w:tblStyle w:val="6"/>
        <w:tblW w:w="79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6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税则号列</w:t>
            </w:r>
          </w:p>
        </w:tc>
        <w:tc>
          <w:tcPr>
            <w:tcW w:w="6035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货  品  名 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884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17011200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未加香料或着色剂的甜菜原糖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17011300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未加香料或着色剂的本章子目注释二所述的甘蔗原糖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17011400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未加香料或着色剂其他甘蔗原糖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17019100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加有香料或着色剂的糖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17019910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砂糖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17019920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绵白糖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88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17019990</w:t>
            </w:r>
          </w:p>
        </w:tc>
        <w:tc>
          <w:tcPr>
            <w:tcW w:w="60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其他精制糖</w:t>
            </w:r>
          </w:p>
        </w:tc>
      </w:tr>
    </w:tbl>
    <w:p>
      <w:pPr>
        <w:rPr>
          <w:rFonts w:hint="default" w:ascii="LinTimes" w:hAnsi="LinTimes" w:cs="LinTimes"/>
        </w:rPr>
      </w:pPr>
    </w:p>
    <w:p>
      <w:pPr>
        <w:widowControl/>
        <w:ind w:firstLine="420" w:firstLineChars="200"/>
        <w:jc w:val="left"/>
        <w:rPr>
          <w:rFonts w:hint="default" w:ascii="LinTimes" w:hAnsi="LinTimes" w:cs="LinTimes"/>
        </w:rPr>
      </w:pPr>
    </w:p>
    <w:p>
      <w:pPr>
        <w:ind w:right="640"/>
        <w:rPr>
          <w:rFonts w:hint="default" w:ascii="LinTimes" w:hAnsi="LinTimes" w:eastAsia="仿宋_GB2312" w:cs="LinTimes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altName w:val="DejaVu Sans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207B6"/>
    <w:rsid w:val="0004553B"/>
    <w:rsid w:val="00046C1E"/>
    <w:rsid w:val="000A416F"/>
    <w:rsid w:val="000B3220"/>
    <w:rsid w:val="000B7A79"/>
    <w:rsid w:val="000C1EB8"/>
    <w:rsid w:val="000E1BF3"/>
    <w:rsid w:val="000E2329"/>
    <w:rsid w:val="00123770"/>
    <w:rsid w:val="00135BC0"/>
    <w:rsid w:val="00177593"/>
    <w:rsid w:val="0019161D"/>
    <w:rsid w:val="001971FB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B63E5"/>
    <w:rsid w:val="002E2BA9"/>
    <w:rsid w:val="00361A1B"/>
    <w:rsid w:val="00367E46"/>
    <w:rsid w:val="003A2D1E"/>
    <w:rsid w:val="003A4BA7"/>
    <w:rsid w:val="003B3E44"/>
    <w:rsid w:val="003B7ED8"/>
    <w:rsid w:val="003C63E1"/>
    <w:rsid w:val="00403C93"/>
    <w:rsid w:val="004361D9"/>
    <w:rsid w:val="00453157"/>
    <w:rsid w:val="004705AC"/>
    <w:rsid w:val="004842E3"/>
    <w:rsid w:val="00492DC8"/>
    <w:rsid w:val="004937CB"/>
    <w:rsid w:val="004A276F"/>
    <w:rsid w:val="004B67D7"/>
    <w:rsid w:val="004D0B5A"/>
    <w:rsid w:val="0051241B"/>
    <w:rsid w:val="0052245F"/>
    <w:rsid w:val="00533BE2"/>
    <w:rsid w:val="005566A4"/>
    <w:rsid w:val="00562F75"/>
    <w:rsid w:val="005A63AE"/>
    <w:rsid w:val="005D02E8"/>
    <w:rsid w:val="005D775E"/>
    <w:rsid w:val="00607F68"/>
    <w:rsid w:val="0062039A"/>
    <w:rsid w:val="00660165"/>
    <w:rsid w:val="00687197"/>
    <w:rsid w:val="006B5A63"/>
    <w:rsid w:val="006D0E20"/>
    <w:rsid w:val="006E0246"/>
    <w:rsid w:val="006E0554"/>
    <w:rsid w:val="00702B9B"/>
    <w:rsid w:val="007143FE"/>
    <w:rsid w:val="007155F2"/>
    <w:rsid w:val="0074745F"/>
    <w:rsid w:val="00747EFE"/>
    <w:rsid w:val="0076554D"/>
    <w:rsid w:val="00775319"/>
    <w:rsid w:val="007A67B4"/>
    <w:rsid w:val="007A7642"/>
    <w:rsid w:val="007D4654"/>
    <w:rsid w:val="007E110A"/>
    <w:rsid w:val="007E1534"/>
    <w:rsid w:val="00813122"/>
    <w:rsid w:val="00832175"/>
    <w:rsid w:val="008349BD"/>
    <w:rsid w:val="00840A87"/>
    <w:rsid w:val="00846C1F"/>
    <w:rsid w:val="0085215A"/>
    <w:rsid w:val="00857072"/>
    <w:rsid w:val="00886CE9"/>
    <w:rsid w:val="008A1217"/>
    <w:rsid w:val="008C0813"/>
    <w:rsid w:val="008E4F78"/>
    <w:rsid w:val="008F16EE"/>
    <w:rsid w:val="00937F24"/>
    <w:rsid w:val="009422BD"/>
    <w:rsid w:val="00955A68"/>
    <w:rsid w:val="00957ACA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B531D"/>
    <w:rsid w:val="00AB6365"/>
    <w:rsid w:val="00AC07BF"/>
    <w:rsid w:val="00AC7A24"/>
    <w:rsid w:val="00AD09B4"/>
    <w:rsid w:val="00B27A5D"/>
    <w:rsid w:val="00B30761"/>
    <w:rsid w:val="00B3161D"/>
    <w:rsid w:val="00B326AA"/>
    <w:rsid w:val="00B45DCE"/>
    <w:rsid w:val="00B53D6D"/>
    <w:rsid w:val="00B65DDA"/>
    <w:rsid w:val="00BA6E1B"/>
    <w:rsid w:val="00BA7FA5"/>
    <w:rsid w:val="00BB0092"/>
    <w:rsid w:val="00BB23A2"/>
    <w:rsid w:val="00BB3508"/>
    <w:rsid w:val="00BC368F"/>
    <w:rsid w:val="00BC44FB"/>
    <w:rsid w:val="00C06B44"/>
    <w:rsid w:val="00C07587"/>
    <w:rsid w:val="00C250B7"/>
    <w:rsid w:val="00C30727"/>
    <w:rsid w:val="00C4590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5165C"/>
    <w:rsid w:val="00DA1DE5"/>
    <w:rsid w:val="00DC59EB"/>
    <w:rsid w:val="00DF6468"/>
    <w:rsid w:val="00E215D0"/>
    <w:rsid w:val="00E44017"/>
    <w:rsid w:val="00E54F05"/>
    <w:rsid w:val="00E56C7D"/>
    <w:rsid w:val="00E62FD6"/>
    <w:rsid w:val="00E83FAE"/>
    <w:rsid w:val="00E84CB9"/>
    <w:rsid w:val="00E84F7B"/>
    <w:rsid w:val="00EA6F5B"/>
    <w:rsid w:val="00ED17AE"/>
    <w:rsid w:val="00EE4B7C"/>
    <w:rsid w:val="00EF5982"/>
    <w:rsid w:val="00EF6AF5"/>
    <w:rsid w:val="00F12E6C"/>
    <w:rsid w:val="00F54DE2"/>
    <w:rsid w:val="1FEEFC85"/>
    <w:rsid w:val="33B7760C"/>
    <w:rsid w:val="3DEB5CF9"/>
    <w:rsid w:val="3DEFA77E"/>
    <w:rsid w:val="3FDFCED3"/>
    <w:rsid w:val="43E63109"/>
    <w:rsid w:val="47BD31EE"/>
    <w:rsid w:val="5AFE9F62"/>
    <w:rsid w:val="5BD94BAB"/>
    <w:rsid w:val="5BDBC3D8"/>
    <w:rsid w:val="5E561883"/>
    <w:rsid w:val="5EBEEEDE"/>
    <w:rsid w:val="5F364B36"/>
    <w:rsid w:val="5F37A060"/>
    <w:rsid w:val="5FFF5A69"/>
    <w:rsid w:val="62C995D1"/>
    <w:rsid w:val="6F723789"/>
    <w:rsid w:val="6F9E3371"/>
    <w:rsid w:val="725B6E3B"/>
    <w:rsid w:val="73FA53A1"/>
    <w:rsid w:val="76FFEB55"/>
    <w:rsid w:val="77DE203F"/>
    <w:rsid w:val="77FFAF4E"/>
    <w:rsid w:val="7DC660C9"/>
    <w:rsid w:val="7DEF9B99"/>
    <w:rsid w:val="7E7A126B"/>
    <w:rsid w:val="7EDFA467"/>
    <w:rsid w:val="7EFE0191"/>
    <w:rsid w:val="7F645E8E"/>
    <w:rsid w:val="7F64E655"/>
    <w:rsid w:val="7F7040C2"/>
    <w:rsid w:val="7FE8CF3B"/>
    <w:rsid w:val="8F7EE4AA"/>
    <w:rsid w:val="95FF8764"/>
    <w:rsid w:val="AEF688DD"/>
    <w:rsid w:val="AF77AE65"/>
    <w:rsid w:val="BFEFB840"/>
    <w:rsid w:val="C27F584E"/>
    <w:rsid w:val="CE531AC0"/>
    <w:rsid w:val="D0BE40A2"/>
    <w:rsid w:val="D21B3F08"/>
    <w:rsid w:val="D5F9DEE6"/>
    <w:rsid w:val="D77F7A5D"/>
    <w:rsid w:val="D7EF442F"/>
    <w:rsid w:val="DB7FDFD4"/>
    <w:rsid w:val="DE3D1B78"/>
    <w:rsid w:val="DEB7F45A"/>
    <w:rsid w:val="DEF5E113"/>
    <w:rsid w:val="DEFB61BE"/>
    <w:rsid w:val="DEFDFE72"/>
    <w:rsid w:val="DF2FEE50"/>
    <w:rsid w:val="E57F91F7"/>
    <w:rsid w:val="E72D47E4"/>
    <w:rsid w:val="EB99AA27"/>
    <w:rsid w:val="EE719E95"/>
    <w:rsid w:val="F3EBC6C8"/>
    <w:rsid w:val="F77A40B6"/>
    <w:rsid w:val="F7F3D9CE"/>
    <w:rsid w:val="F7FFFA64"/>
    <w:rsid w:val="FAD8BF14"/>
    <w:rsid w:val="FCFEE496"/>
    <w:rsid w:val="FF1EEE11"/>
    <w:rsid w:val="FF770D83"/>
    <w:rsid w:val="FFFB48B3"/>
    <w:rsid w:val="FFFD363D"/>
    <w:rsid w:val="FFFDD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