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958" w:type="dxa"/>
        <w:jc w:val="center"/>
        <w:tblCellSpacing w:w="0" w:type="dxa"/>
        <w:tblInd w:w="0" w:type="dxa"/>
        <w:shd w:val="clear"/>
        <w:tblLayout w:type="fixed"/>
        <w:tblCellMar>
          <w:top w:w="0" w:type="dxa"/>
          <w:left w:w="0" w:type="dxa"/>
          <w:bottom w:w="0" w:type="dxa"/>
          <w:right w:w="0" w:type="dxa"/>
        </w:tblCellMar>
      </w:tblPr>
      <w:tblGrid>
        <w:gridCol w:w="13958"/>
      </w:tblGrid>
      <w:tr>
        <w:tblPrEx>
          <w:shd w:val="clear"/>
          <w:tblLayout w:type="fixed"/>
          <w:tblCellMar>
            <w:top w:w="0" w:type="dxa"/>
            <w:left w:w="0" w:type="dxa"/>
            <w:bottom w:w="0" w:type="dxa"/>
            <w:right w:w="0" w:type="dxa"/>
          </w:tblCellMar>
        </w:tblPrEx>
        <w:trPr>
          <w:tblCellSpacing w:w="0" w:type="dxa"/>
          <w:jc w:val="center"/>
        </w:trPr>
        <w:tc>
          <w:tcPr>
            <w:tcW w:w="13958" w:type="dxa"/>
            <w:shd w:val="clear"/>
            <w:vAlign w:val="top"/>
          </w:tcPr>
          <w:tbl>
            <w:tblPr>
              <w:tblW w:w="13957" w:type="dxa"/>
              <w:jc w:val="center"/>
              <w:tblCellSpacing w:w="0" w:type="dxa"/>
              <w:tblInd w:w="1" w:type="dxa"/>
              <w:shd w:val="clear"/>
              <w:tblLayout w:type="fixed"/>
              <w:tblCellMar>
                <w:top w:w="0" w:type="dxa"/>
                <w:left w:w="0" w:type="dxa"/>
                <w:bottom w:w="0" w:type="dxa"/>
                <w:right w:w="0" w:type="dxa"/>
              </w:tblCellMar>
            </w:tblPr>
            <w:tblGrid>
              <w:gridCol w:w="3596"/>
              <w:gridCol w:w="10361"/>
            </w:tblGrid>
            <w:tr>
              <w:tblPrEx>
                <w:shd w:val="clear"/>
                <w:tblLayout w:type="fixed"/>
              </w:tblPrEx>
              <w:trPr>
                <w:tblCellSpacing w:w="0" w:type="dxa"/>
                <w:jc w:val="center"/>
              </w:trPr>
              <w:tc>
                <w:tcPr>
                  <w:tcW w:w="3596" w:type="dxa"/>
                  <w:shd w:val="clear" w:color="auto" w:fill="59AC8F"/>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b/>
                      <w:color w:val="FFFFFF"/>
                      <w:kern w:val="0"/>
                      <w:sz w:val="21"/>
                      <w:szCs w:val="21"/>
                      <w:bdr w:val="none" w:color="auto" w:sz="0" w:space="0"/>
                      <w:lang w:val="en-US" w:eastAsia="zh-CN" w:bidi="ar"/>
                    </w:rPr>
                    <w:t>产品介绍中心</w:t>
                  </w:r>
                </w:p>
              </w:tc>
              <w:tc>
                <w:tcPr>
                  <w:tcW w:w="10361" w:type="dxa"/>
                  <w:shd w:val="clear" w:color="auto" w:fill="59AC8F"/>
                  <w:tcMar>
                    <w:right w:w="225" w:type="dxa"/>
                  </w:tcMar>
                  <w:vAlign w:val="center"/>
                </w:tcPr>
                <w:p>
                  <w:pPr>
                    <w:keepNext w:val="0"/>
                    <w:keepLines w:val="0"/>
                    <w:widowControl/>
                    <w:suppressLineNumbers w:val="0"/>
                    <w:spacing w:before="0" w:beforeAutospacing="0" w:after="0" w:afterAutospacing="0"/>
                    <w:ind w:left="0" w:right="0"/>
                    <w:jc w:val="right"/>
                    <w:rPr>
                      <w:color w:val="F0F0F0"/>
                      <w:sz w:val="18"/>
                      <w:szCs w:val="18"/>
                    </w:rPr>
                  </w:pPr>
                  <w:r>
                    <w:rPr>
                      <w:rFonts w:ascii="宋体" w:hAnsi="宋体" w:eastAsia="宋体" w:cs="宋体"/>
                      <w:color w:val="F0F0F0"/>
                      <w:kern w:val="0"/>
                      <w:sz w:val="18"/>
                      <w:szCs w:val="18"/>
                      <w:bdr w:val="none" w:color="auto" w:sz="0" w:space="0"/>
                      <w:lang w:val="en-US" w:eastAsia="zh-CN" w:bidi="ar"/>
                    </w:rPr>
                    <w:t>首页 &gt; 产品介绍中心 &gt; 产品介绍内容</w:t>
                  </w:r>
                </w:p>
              </w:tc>
            </w:tr>
          </w:tbl>
          <w:p>
            <w:pPr>
              <w:rPr>
                <w:vanish/>
                <w:sz w:val="24"/>
                <w:szCs w:val="24"/>
              </w:rPr>
            </w:pPr>
          </w:p>
          <w:tbl>
            <w:tblPr>
              <w:tblW w:w="13958" w:type="dxa"/>
              <w:jc w:val="center"/>
              <w:tblCellSpacing w:w="0" w:type="dxa"/>
              <w:tblInd w:w="0" w:type="dxa"/>
              <w:shd w:val="clear"/>
              <w:tblLayout w:type="fixed"/>
              <w:tblCellMar>
                <w:top w:w="0" w:type="dxa"/>
                <w:left w:w="0" w:type="dxa"/>
                <w:bottom w:w="0" w:type="dxa"/>
                <w:right w:w="0" w:type="dxa"/>
              </w:tblCellMar>
            </w:tblPr>
            <w:tblGrid>
              <w:gridCol w:w="13958"/>
            </w:tblGrid>
            <w:tr>
              <w:tblPrEx>
                <w:tblLayout w:type="fixed"/>
                <w:tblCellMar>
                  <w:top w:w="0" w:type="dxa"/>
                  <w:left w:w="0" w:type="dxa"/>
                  <w:bottom w:w="0" w:type="dxa"/>
                  <w:right w:w="0" w:type="dxa"/>
                </w:tblCellMar>
              </w:tblPrEx>
              <w:trPr>
                <w:tblCellSpacing w:w="0" w:type="dxa"/>
                <w:jc w:val="center"/>
              </w:trPr>
              <w:tc>
                <w:tcPr>
                  <w:tcW w:w="13958" w:type="dxa"/>
                  <w:tcBorders>
                    <w:top w:val="dashed" w:color="2A8065" w:sz="6" w:space="0"/>
                  </w:tcBorders>
                  <w:shd w:val="clear" w:color="auto" w:fill="F5F5F5"/>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center"/>
                  </w:pPr>
                  <w:bookmarkStart w:id="0" w:name="_GoBack"/>
                  <w:r>
                    <w:rPr>
                      <w:rFonts w:ascii="宋体" w:hAnsi="宋体" w:eastAsia="宋体" w:cs="宋体"/>
                      <w:b/>
                      <w:kern w:val="0"/>
                      <w:sz w:val="27"/>
                      <w:szCs w:val="27"/>
                      <w:bdr w:val="none" w:color="auto" w:sz="0" w:space="0"/>
                      <w:lang w:val="en-US" w:eastAsia="zh-CN" w:bidi="ar"/>
                    </w:rPr>
                    <w:t>国际EMS在线打单资费及相关规定</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150" w:afterAutospacing="0"/>
                    <w:ind w:left="0" w:right="0"/>
                    <w:jc w:val="center"/>
                    <w:rPr>
                      <w:sz w:val="18"/>
                      <w:szCs w:val="18"/>
                    </w:rPr>
                  </w:pPr>
                  <w:r>
                    <w:rPr>
                      <w:rFonts w:ascii="宋体" w:hAnsi="宋体" w:eastAsia="宋体" w:cs="宋体"/>
                      <w:kern w:val="0"/>
                      <w:sz w:val="18"/>
                      <w:szCs w:val="18"/>
                      <w:bdr w:val="none" w:color="auto" w:sz="0" w:space="0"/>
                      <w:lang w:val="en-US" w:eastAsia="zh-CN" w:bidi="ar"/>
                    </w:rPr>
                    <w:t>发布日期：2017-05-22</w:t>
                  </w:r>
                </w:p>
              </w:tc>
            </w:tr>
          </w:tbl>
          <w:p>
            <w:pPr>
              <w:rPr>
                <w:vanish/>
                <w:sz w:val="24"/>
                <w:szCs w:val="24"/>
              </w:rPr>
            </w:pPr>
          </w:p>
          <w:tbl>
            <w:tblPr>
              <w:tblW w:w="13958" w:type="dxa"/>
              <w:jc w:val="center"/>
              <w:tblCellSpacing w:w="0" w:type="dxa"/>
              <w:tblInd w:w="0" w:type="dxa"/>
              <w:shd w:val="clear"/>
              <w:tblLayout w:type="fixed"/>
              <w:tblCellMar>
                <w:top w:w="0" w:type="dxa"/>
                <w:left w:w="0" w:type="dxa"/>
                <w:bottom w:w="0" w:type="dxa"/>
                <w:right w:w="0" w:type="dxa"/>
              </w:tblCellMar>
            </w:tblPr>
            <w:tblGrid>
              <w:gridCol w:w="13958"/>
            </w:tblGrid>
            <w:tr>
              <w:tblPrEx>
                <w:shd w:val="clear"/>
                <w:tblLayout w:type="fixed"/>
                <w:tblCellMar>
                  <w:top w:w="0" w:type="dxa"/>
                  <w:left w:w="0" w:type="dxa"/>
                  <w:bottom w:w="0" w:type="dxa"/>
                  <w:right w:w="0" w:type="dxa"/>
                </w:tblCellMar>
              </w:tblPrEx>
              <w:trPr>
                <w:tblCellSpacing w:w="0" w:type="dxa"/>
                <w:jc w:val="center"/>
              </w:trPr>
              <w:tc>
                <w:tcPr>
                  <w:tcW w:w="13958" w:type="dxa"/>
                  <w:shd w:val="clear" w:color="auto" w:fill="FFFFFF"/>
                  <w:tcMar>
                    <w:top w:w="150" w:type="dxa"/>
                    <w:left w:w="150" w:type="dxa"/>
                    <w:bottom w:w="150"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4"/>
                      <w:sz w:val="24"/>
                      <w:szCs w:val="24"/>
                      <w:bdr w:val="none" w:color="auto" w:sz="0" w:space="0"/>
                    </w:rPr>
                    <w:t>产品介绍：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国际EMS（国际及台港澳特快专递)是中国邮政速递物流股份有限公司与各国（地区）邮政合作开办的中国大陆与其他国家、台港澳间寄递特快专递邮件的一项服务，可为用户快速传递国际各类文件资料和物品，同时提供多种形式的邮件跟踪查询服务。该业务与各国（地区）邮政、海关、航空等部门紧密合作，打通绿色便利邮寄通道。此外，邮政速递物流还提供代客包装、代客报关等一系列综合延伸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4"/>
                      <w:sz w:val="24"/>
                      <w:szCs w:val="24"/>
                      <w:bdr w:val="none" w:color="auto" w:sz="0" w:space="0"/>
                    </w:rPr>
                    <w:t>业务特点：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sz w:val="24"/>
                      <w:szCs w:val="24"/>
                      <w:bdr w:val="none" w:color="auto" w:sz="0" w:space="0"/>
                    </w:rPr>
                    <w:t>邮政渠道、清关便捷   全程查询、信息安全   API对接、发运方便  在线打单、批量处理   时限提速、省时省力   物流提质、店铺加分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Style w:val="4"/>
                      <w:sz w:val="24"/>
                      <w:szCs w:val="24"/>
                      <w:bdr w:val="none" w:color="auto" w:sz="0" w:space="0"/>
                    </w:rPr>
                    <w:t>资费及要求：</w:t>
                  </w:r>
                </w:p>
                <w:tbl>
                  <w:tblPr>
                    <w:tblW w:w="13637" w:type="dxa"/>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596"/>
                    <w:gridCol w:w="2937"/>
                    <w:gridCol w:w="779"/>
                    <w:gridCol w:w="779"/>
                    <w:gridCol w:w="1082"/>
                    <w:gridCol w:w="1382"/>
                    <w:gridCol w:w="1600"/>
                    <w:gridCol w:w="1268"/>
                    <w:gridCol w:w="1660"/>
                    <w:gridCol w:w="155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PrEx>
                    <w:trPr>
                      <w:trHeight w:val="375" w:hRule="atLeast"/>
                    </w:trPr>
                    <w:tc>
                      <w:tcPr>
                        <w:tcW w:w="596"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4"/>
                            <w:szCs w:val="24"/>
                            <w:u w:val="none"/>
                          </w:rPr>
                        </w:pPr>
                        <w:r>
                          <w:rPr>
                            <w:rFonts w:ascii="宋体" w:hAnsi="宋体" w:eastAsia="宋体" w:cs="宋体"/>
                            <w:i w:val="0"/>
                            <w:color w:val="000000"/>
                            <w:kern w:val="0"/>
                            <w:sz w:val="24"/>
                            <w:szCs w:val="24"/>
                            <w:u w:val="none"/>
                            <w:bdr w:val="none" w:color="auto" w:sz="0" w:space="0"/>
                            <w:lang w:val="en-US" w:eastAsia="zh-CN" w:bidi="ar"/>
                          </w:rPr>
                          <w:t>资费区</w:t>
                        </w:r>
                      </w:p>
                    </w:tc>
                    <w:tc>
                      <w:tcPr>
                        <w:tcW w:w="2937"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4"/>
                            <w:szCs w:val="24"/>
                            <w:u w:val="none"/>
                          </w:rPr>
                        </w:pPr>
                        <w:r>
                          <w:rPr>
                            <w:rFonts w:ascii="宋体" w:hAnsi="宋体" w:eastAsia="宋体" w:cs="宋体"/>
                            <w:i w:val="0"/>
                            <w:color w:val="000000"/>
                            <w:kern w:val="0"/>
                            <w:sz w:val="24"/>
                            <w:szCs w:val="24"/>
                            <w:u w:val="none"/>
                            <w:bdr w:val="none" w:color="auto" w:sz="0" w:space="0"/>
                            <w:lang w:val="en-US" w:eastAsia="zh-CN" w:bidi="ar"/>
                          </w:rPr>
                          <w:t>通达国家（地区）</w:t>
                        </w:r>
                      </w:p>
                    </w:tc>
                    <w:tc>
                      <w:tcPr>
                        <w:tcW w:w="264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价格 （元）</w:t>
                        </w:r>
                      </w:p>
                    </w:tc>
                    <w:tc>
                      <w:tcPr>
                        <w:tcW w:w="1382"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参考时限 （工作日）</w:t>
                        </w:r>
                      </w:p>
                    </w:tc>
                    <w:tc>
                      <w:tcPr>
                        <w:tcW w:w="160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最高限重 （kg）</w:t>
                        </w:r>
                      </w:p>
                    </w:tc>
                    <w:tc>
                      <w:tcPr>
                        <w:tcW w:w="1268"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最大尺寸限制（m）</w:t>
                        </w:r>
                      </w:p>
                    </w:tc>
                    <w:tc>
                      <w:tcPr>
                        <w:tcW w:w="166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补偿标准</w:t>
                        </w:r>
                      </w:p>
                    </w:tc>
                    <w:tc>
                      <w:tcPr>
                        <w:tcW w:w="1554"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450" w:hRule="atLeast"/>
                    </w:trPr>
                    <w:tc>
                      <w:tcPr>
                        <w:tcW w:w="59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i w:val="0"/>
                            <w:color w:val="000000"/>
                            <w:sz w:val="24"/>
                            <w:szCs w:val="24"/>
                            <w:u w:val="none"/>
                          </w:rPr>
                        </w:pPr>
                      </w:p>
                    </w:tc>
                    <w:tc>
                      <w:tcPr>
                        <w:tcW w:w="2937"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i w:val="0"/>
                            <w:color w:val="000000"/>
                            <w:sz w:val="24"/>
                            <w:szCs w:val="24"/>
                            <w:u w:val="none"/>
                          </w:rPr>
                        </w:pPr>
                      </w:p>
                    </w:tc>
                    <w:tc>
                      <w:tcPr>
                        <w:tcW w:w="1558" w:type="dxa"/>
                        <w:gridSpan w:val="2"/>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首重（500克）</w:t>
                        </w:r>
                      </w:p>
                    </w:tc>
                    <w:tc>
                      <w:tcPr>
                        <w:tcW w:w="1082" w:type="dxa"/>
                        <w:vMerge w:val="restart"/>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续重（500克）</w:t>
                        </w:r>
                      </w:p>
                    </w:tc>
                    <w:tc>
                      <w:tcPr>
                        <w:tcW w:w="1382"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i w:val="0"/>
                            <w:color w:val="000000"/>
                            <w:sz w:val="22"/>
                            <w:szCs w:val="22"/>
                            <w:u w:val="none"/>
                          </w:rPr>
                        </w:pPr>
                      </w:p>
                    </w:tc>
                    <w:tc>
                      <w:tcPr>
                        <w:tcW w:w="1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i w:val="0"/>
                            <w:color w:val="000000"/>
                            <w:sz w:val="22"/>
                            <w:szCs w:val="22"/>
                            <w:u w:val="none"/>
                          </w:rPr>
                        </w:pPr>
                      </w:p>
                    </w:tc>
                    <w:tc>
                      <w:tcPr>
                        <w:tcW w:w="1268"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i w:val="0"/>
                            <w:color w:val="000000"/>
                            <w:sz w:val="22"/>
                            <w:szCs w:val="22"/>
                            <w:u w:val="none"/>
                          </w:rPr>
                        </w:pPr>
                      </w:p>
                    </w:tc>
                    <w:tc>
                      <w:tcPr>
                        <w:tcW w:w="166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i w:val="0"/>
                            <w:color w:val="000000"/>
                            <w:sz w:val="22"/>
                            <w:szCs w:val="22"/>
                            <w:u w:val="none"/>
                          </w:rPr>
                        </w:pPr>
                      </w:p>
                    </w:tc>
                    <w:tc>
                      <w:tcPr>
                        <w:tcW w:w="155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i w:val="0"/>
                            <w:color w:val="000000"/>
                            <w:sz w:val="22"/>
                            <w:szCs w:val="22"/>
                            <w:u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301" w:hRule="atLeast"/>
                    </w:trPr>
                    <w:tc>
                      <w:tcPr>
                        <w:tcW w:w="59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i w:val="0"/>
                            <w:color w:val="000000"/>
                            <w:sz w:val="24"/>
                            <w:szCs w:val="24"/>
                            <w:u w:val="none"/>
                          </w:rPr>
                        </w:pPr>
                      </w:p>
                    </w:tc>
                    <w:tc>
                      <w:tcPr>
                        <w:tcW w:w="2937"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i w:val="0"/>
                            <w:color w:val="000000"/>
                            <w:sz w:val="24"/>
                            <w:szCs w:val="24"/>
                            <w:u w:val="none"/>
                          </w:rPr>
                        </w:pP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4"/>
                            <w:szCs w:val="24"/>
                            <w:u w:val="none"/>
                          </w:rPr>
                        </w:pPr>
                        <w:r>
                          <w:rPr>
                            <w:rFonts w:ascii="宋体" w:hAnsi="宋体" w:eastAsia="宋体" w:cs="宋体"/>
                            <w:i w:val="0"/>
                            <w:color w:val="000000"/>
                            <w:kern w:val="0"/>
                            <w:sz w:val="24"/>
                            <w:szCs w:val="24"/>
                            <w:u w:val="none"/>
                            <w:bdr w:val="none" w:color="auto" w:sz="0" w:space="0"/>
                            <w:lang w:val="en-US" w:eastAsia="zh-CN" w:bidi="ar"/>
                          </w:rPr>
                          <w:t>文件</w:t>
                        </w:r>
                      </w:p>
                    </w:tc>
                    <w:tc>
                      <w:tcPr>
                        <w:tcW w:w="77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物品</w:t>
                        </w:r>
                      </w:p>
                    </w:tc>
                    <w:tc>
                      <w:tcPr>
                        <w:tcW w:w="1082" w:type="dxa"/>
                        <w:vMerge w:val="continue"/>
                        <w:tcBorders>
                          <w:top w:val="outset" w:color="000000" w:sz="6" w:space="0"/>
                          <w:left w:val="outset" w:color="000000" w:sz="6" w:space="0"/>
                          <w:bottom w:val="outset" w:color="000000" w:sz="6" w:space="0"/>
                          <w:right w:val="outset" w:color="000000" w:sz="6" w:space="0"/>
                        </w:tcBorders>
                        <w:shd w:val="clear"/>
                        <w:vAlign w:val="center"/>
                      </w:tcPr>
                      <w:p>
                        <w:pPr>
                          <w:jc w:val="center"/>
                          <w:rPr>
                            <w:rFonts w:hint="eastAsia" w:ascii="宋体"/>
                            <w:i w:val="0"/>
                            <w:color w:val="000000"/>
                            <w:sz w:val="22"/>
                            <w:szCs w:val="22"/>
                            <w:u w:val="none"/>
                          </w:rPr>
                        </w:pPr>
                      </w:p>
                    </w:tc>
                    <w:tc>
                      <w:tcPr>
                        <w:tcW w:w="1382"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i w:val="0"/>
                            <w:color w:val="000000"/>
                            <w:sz w:val="22"/>
                            <w:szCs w:val="22"/>
                            <w:u w:val="none"/>
                          </w:rPr>
                        </w:pPr>
                      </w:p>
                    </w:tc>
                    <w:tc>
                      <w:tcPr>
                        <w:tcW w:w="16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i w:val="0"/>
                            <w:color w:val="000000"/>
                            <w:sz w:val="22"/>
                            <w:szCs w:val="22"/>
                            <w:u w:val="none"/>
                          </w:rPr>
                        </w:pPr>
                      </w:p>
                    </w:tc>
                    <w:tc>
                      <w:tcPr>
                        <w:tcW w:w="1268"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i w:val="0"/>
                            <w:color w:val="000000"/>
                            <w:sz w:val="22"/>
                            <w:szCs w:val="22"/>
                            <w:u w:val="none"/>
                          </w:rPr>
                        </w:pPr>
                      </w:p>
                    </w:tc>
                    <w:tc>
                      <w:tcPr>
                        <w:tcW w:w="166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i w:val="0"/>
                            <w:color w:val="000000"/>
                            <w:sz w:val="22"/>
                            <w:szCs w:val="22"/>
                            <w:u w:val="none"/>
                          </w:rPr>
                        </w:pPr>
                      </w:p>
                    </w:tc>
                    <w:tc>
                      <w:tcPr>
                        <w:tcW w:w="1554"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i w:val="0"/>
                            <w:color w:val="000000"/>
                            <w:sz w:val="22"/>
                            <w:szCs w:val="22"/>
                            <w:u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600" w:hRule="atLeast"/>
                    </w:trPr>
                    <w:tc>
                      <w:tcPr>
                        <w:tcW w:w="5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一区</w:t>
                        </w:r>
                      </w:p>
                    </w:tc>
                    <w:tc>
                      <w:tcPr>
                        <w:tcW w:w="29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中国澳门 中国台湾 中国香港</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90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130</w:t>
                        </w:r>
                      </w:p>
                    </w:tc>
                    <w:tc>
                      <w:tcPr>
                        <w:tcW w:w="10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30</w:t>
                        </w:r>
                      </w:p>
                    </w:tc>
                    <w:tc>
                      <w:tcPr>
                        <w:tcW w:w="1382"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2-4</w:t>
                        </w:r>
                      </w:p>
                    </w:tc>
                    <w:tc>
                      <w:tcPr>
                        <w:tcW w:w="16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澳门31.5，其他30</w:t>
                        </w:r>
                      </w:p>
                    </w:tc>
                    <w:tc>
                      <w:tcPr>
                        <w:tcW w:w="12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香港：标准1；其他：标准3。</w:t>
                        </w:r>
                      </w:p>
                    </w:tc>
                    <w:tc>
                      <w:tcPr>
                        <w:tcW w:w="1660" w:type="dxa"/>
                        <w:vMerge w:val="restart"/>
                        <w:tcBorders>
                          <w:top w:val="outset" w:color="000000" w:sz="6" w:space="0"/>
                          <w:left w:val="outset" w:color="000000" w:sz="6" w:space="0"/>
                          <w:bottom w:val="outset" w:color="000000" w:sz="6" w:space="0"/>
                          <w:right w:val="outset" w:color="000000" w:sz="6" w:space="0"/>
                        </w:tcBorders>
                        <w:shd w:val="clear"/>
                        <w:vAlign w:val="top"/>
                      </w:tcPr>
                      <w:p>
                        <w:pPr>
                          <w:keepNext w:val="0"/>
                          <w:keepLines w:val="0"/>
                          <w:widowControl/>
                          <w:suppressLineNumbers w:val="0"/>
                          <w:spacing w:before="0" w:beforeAutospacing="0" w:after="0" w:afterAutospacing="0"/>
                          <w:ind w:left="0" w:right="0"/>
                          <w:jc w:val="left"/>
                          <w:textAlignment w:val="top"/>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1、对证实因邮政企业原因而延误的邮件，每件的补偿金额为所收邮费的50%；2、对丢失、完全损毁的信函、文件资料类邮件，每件的补偿金额为人民币400元，并退回已收取的全部邮费；3、对于丢失、部分损毁的物品类快件，除退回已收取的全部邮费外，将按照详情单上的寄件人申报的实际价值予以赔偿，但最高不超过根据下列公式计算出的数额：500元/件+60元/千克×邮件重量 。对未申报价值的邮件，一律按每件人民币400元的标准予以赔偿；4、对于内件部分丢失或部分损毁的物品类邮件，将按实际损失予以赔偿，但最高不超过上述公式计算出的最高补偿额；5、邮政企业对因寄件人过失和不可抗力所导致的损失以及任何间接损失不承担补偿责任。</w:t>
                        </w:r>
                      </w:p>
                    </w:tc>
                    <w:tc>
                      <w:tcPr>
                        <w:tcW w:w="1554" w:type="dxa"/>
                        <w:vMerge w:val="restart"/>
                        <w:tcBorders>
                          <w:top w:val="outset" w:color="000000" w:sz="6" w:space="0"/>
                          <w:left w:val="outset" w:color="000000" w:sz="6" w:space="0"/>
                          <w:bottom w:val="outset" w:color="000000" w:sz="6" w:space="0"/>
                          <w:right w:val="outset" w:color="000000" w:sz="6" w:space="0"/>
                        </w:tcBorders>
                        <w:shd w:val="clear"/>
                        <w:vAlign w:val="top"/>
                      </w:tcPr>
                      <w:p>
                        <w:pPr>
                          <w:keepNext w:val="0"/>
                          <w:keepLines w:val="0"/>
                          <w:widowControl/>
                          <w:suppressLineNumbers w:val="0"/>
                          <w:spacing w:before="0" w:beforeAutospacing="0" w:after="0" w:afterAutospacing="0"/>
                          <w:ind w:left="0" w:right="0"/>
                          <w:jc w:val="left"/>
                          <w:textAlignment w:val="top"/>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1.根据国际航空运输协会的相关规定，当邮件体积重量大于实际重量时，邮件的运费标准按照其体积重量予以收取；具体计算公式为：长cm×宽cm×高cm÷6000=体积重量；2.shipping系统支持语言：简体中文、繁体中文、日语、意大利语、西班牙语、俄语、英语；不支持语言：韩语、阿拉伯语、葡萄牙语、德语、法语、挪威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615" w:hRule="atLeast"/>
                    </w:trPr>
                    <w:tc>
                      <w:tcPr>
                        <w:tcW w:w="5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二区</w:t>
                        </w:r>
                      </w:p>
                    </w:tc>
                    <w:tc>
                      <w:tcPr>
                        <w:tcW w:w="29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朝鲜 韩国 日本</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115</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180</w:t>
                        </w:r>
                      </w:p>
                    </w:tc>
                    <w:tc>
                      <w:tcPr>
                        <w:tcW w:w="10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40</w:t>
                        </w:r>
                      </w:p>
                    </w:tc>
                    <w:tc>
                      <w:tcPr>
                        <w:tcW w:w="1382"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jc w:val="center"/>
                          <w:rPr>
                            <w:rFonts w:hint="eastAsia" w:ascii="宋体"/>
                            <w:i w:val="0"/>
                            <w:color w:val="000000"/>
                            <w:sz w:val="22"/>
                            <w:szCs w:val="22"/>
                            <w:u w:val="none"/>
                          </w:rPr>
                        </w:pPr>
                      </w:p>
                    </w:tc>
                    <w:tc>
                      <w:tcPr>
                        <w:tcW w:w="16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30</w:t>
                        </w:r>
                      </w:p>
                    </w:tc>
                    <w:tc>
                      <w:tcPr>
                        <w:tcW w:w="12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朝鲜：标准2；其他：标准1。</w:t>
                        </w:r>
                      </w:p>
                    </w:tc>
                    <w:tc>
                      <w:tcPr>
                        <w:tcW w:w="1660" w:type="dxa"/>
                        <w:vMerge w:val="continue"/>
                        <w:tcBorders>
                          <w:top w:val="outset" w:color="000000" w:sz="6" w:space="0"/>
                          <w:left w:val="outset" w:color="000000" w:sz="6" w:space="0"/>
                          <w:bottom w:val="outset" w:color="000000" w:sz="6" w:space="0"/>
                          <w:right w:val="outset" w:color="000000" w:sz="6" w:space="0"/>
                        </w:tcBorders>
                        <w:shd w:val="clear"/>
                        <w:vAlign w:val="top"/>
                      </w:tcPr>
                      <w:p>
                        <w:pPr>
                          <w:jc w:val="left"/>
                          <w:rPr>
                            <w:rFonts w:hint="eastAsia" w:ascii="宋体"/>
                            <w:i w:val="0"/>
                            <w:color w:val="000000"/>
                            <w:sz w:val="22"/>
                            <w:szCs w:val="22"/>
                            <w:u w:val="none"/>
                          </w:rPr>
                        </w:pPr>
                      </w:p>
                    </w:tc>
                    <w:tc>
                      <w:tcPr>
                        <w:tcW w:w="1554" w:type="dxa"/>
                        <w:vMerge w:val="continue"/>
                        <w:tcBorders>
                          <w:top w:val="outset" w:color="000000" w:sz="6" w:space="0"/>
                          <w:left w:val="outset" w:color="000000" w:sz="6" w:space="0"/>
                          <w:bottom w:val="outset" w:color="000000" w:sz="6" w:space="0"/>
                          <w:right w:val="outset" w:color="000000" w:sz="6" w:space="0"/>
                        </w:tcBorders>
                        <w:shd w:val="clear"/>
                        <w:vAlign w:val="top"/>
                      </w:tcPr>
                      <w:p>
                        <w:pPr>
                          <w:jc w:val="left"/>
                          <w:rPr>
                            <w:rFonts w:hint="eastAsia" w:ascii="宋体"/>
                            <w:i w:val="0"/>
                            <w:color w:val="000000"/>
                            <w:sz w:val="22"/>
                            <w:szCs w:val="22"/>
                            <w:u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780" w:hRule="atLeast"/>
                    </w:trPr>
                    <w:tc>
                      <w:tcPr>
                        <w:tcW w:w="5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三区</w:t>
                        </w:r>
                      </w:p>
                    </w:tc>
                    <w:tc>
                      <w:tcPr>
                        <w:tcW w:w="29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菲律宾 柬埔寨 马来西亚 蒙古 泰国 新加坡 印度尼西亚 越南</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130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190</w:t>
                        </w:r>
                      </w:p>
                    </w:tc>
                    <w:tc>
                      <w:tcPr>
                        <w:tcW w:w="10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45</w:t>
                        </w:r>
                      </w:p>
                    </w:tc>
                    <w:tc>
                      <w:tcPr>
                        <w:tcW w:w="13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3-7</w:t>
                        </w:r>
                      </w:p>
                    </w:tc>
                    <w:tc>
                      <w:tcPr>
                        <w:tcW w:w="16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越南31.5；蒙古20；其他30</w:t>
                        </w:r>
                      </w:p>
                    </w:tc>
                    <w:tc>
                      <w:tcPr>
                        <w:tcW w:w="12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标准1。</w:t>
                        </w:r>
                      </w:p>
                    </w:tc>
                    <w:tc>
                      <w:tcPr>
                        <w:tcW w:w="1660" w:type="dxa"/>
                        <w:vMerge w:val="continue"/>
                        <w:tcBorders>
                          <w:top w:val="outset" w:color="000000" w:sz="6" w:space="0"/>
                          <w:left w:val="outset" w:color="000000" w:sz="6" w:space="0"/>
                          <w:bottom w:val="outset" w:color="000000" w:sz="6" w:space="0"/>
                          <w:right w:val="outset" w:color="000000" w:sz="6" w:space="0"/>
                        </w:tcBorders>
                        <w:shd w:val="clear"/>
                        <w:vAlign w:val="top"/>
                      </w:tcPr>
                      <w:p>
                        <w:pPr>
                          <w:jc w:val="left"/>
                          <w:rPr>
                            <w:rFonts w:hint="eastAsia" w:ascii="宋体"/>
                            <w:i w:val="0"/>
                            <w:color w:val="000000"/>
                            <w:sz w:val="22"/>
                            <w:szCs w:val="22"/>
                            <w:u w:val="none"/>
                          </w:rPr>
                        </w:pPr>
                      </w:p>
                    </w:tc>
                    <w:tc>
                      <w:tcPr>
                        <w:tcW w:w="1554" w:type="dxa"/>
                        <w:vMerge w:val="continue"/>
                        <w:tcBorders>
                          <w:top w:val="outset" w:color="000000" w:sz="6" w:space="0"/>
                          <w:left w:val="outset" w:color="000000" w:sz="6" w:space="0"/>
                          <w:bottom w:val="outset" w:color="000000" w:sz="6" w:space="0"/>
                          <w:right w:val="outset" w:color="000000" w:sz="6" w:space="0"/>
                        </w:tcBorders>
                        <w:shd w:val="clear"/>
                        <w:vAlign w:val="top"/>
                      </w:tcPr>
                      <w:p>
                        <w:pPr>
                          <w:jc w:val="left"/>
                          <w:rPr>
                            <w:rFonts w:hint="eastAsia" w:ascii="宋体"/>
                            <w:i w:val="0"/>
                            <w:color w:val="000000"/>
                            <w:sz w:val="22"/>
                            <w:szCs w:val="22"/>
                            <w:u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750" w:hRule="atLeast"/>
                    </w:trPr>
                    <w:tc>
                      <w:tcPr>
                        <w:tcW w:w="5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四区</w:t>
                        </w:r>
                      </w:p>
                    </w:tc>
                    <w:tc>
                      <w:tcPr>
                        <w:tcW w:w="29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澳大利亚 巴布亚新几内亚 新西兰</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160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210</w:t>
                        </w:r>
                      </w:p>
                    </w:tc>
                    <w:tc>
                      <w:tcPr>
                        <w:tcW w:w="10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55</w:t>
                        </w:r>
                      </w:p>
                    </w:tc>
                    <w:tc>
                      <w:tcPr>
                        <w:tcW w:w="13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6-8</w:t>
                        </w:r>
                      </w:p>
                    </w:tc>
                    <w:tc>
                      <w:tcPr>
                        <w:tcW w:w="16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澳大利亚20；其他30</w:t>
                        </w:r>
                      </w:p>
                    </w:tc>
                    <w:tc>
                      <w:tcPr>
                        <w:tcW w:w="12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澳大利亚：标准4；其他：标准1。</w:t>
                        </w:r>
                      </w:p>
                    </w:tc>
                    <w:tc>
                      <w:tcPr>
                        <w:tcW w:w="1660" w:type="dxa"/>
                        <w:vMerge w:val="continue"/>
                        <w:tcBorders>
                          <w:top w:val="outset" w:color="000000" w:sz="6" w:space="0"/>
                          <w:left w:val="outset" w:color="000000" w:sz="6" w:space="0"/>
                          <w:bottom w:val="outset" w:color="000000" w:sz="6" w:space="0"/>
                          <w:right w:val="outset" w:color="000000" w:sz="6" w:space="0"/>
                        </w:tcBorders>
                        <w:shd w:val="clear"/>
                        <w:vAlign w:val="top"/>
                      </w:tcPr>
                      <w:p>
                        <w:pPr>
                          <w:jc w:val="left"/>
                          <w:rPr>
                            <w:rFonts w:hint="eastAsia" w:ascii="宋体"/>
                            <w:i w:val="0"/>
                            <w:color w:val="000000"/>
                            <w:sz w:val="22"/>
                            <w:szCs w:val="22"/>
                            <w:u w:val="none"/>
                          </w:rPr>
                        </w:pPr>
                      </w:p>
                    </w:tc>
                    <w:tc>
                      <w:tcPr>
                        <w:tcW w:w="1554" w:type="dxa"/>
                        <w:vMerge w:val="continue"/>
                        <w:tcBorders>
                          <w:top w:val="outset" w:color="000000" w:sz="6" w:space="0"/>
                          <w:left w:val="outset" w:color="000000" w:sz="6" w:space="0"/>
                          <w:bottom w:val="outset" w:color="000000" w:sz="6" w:space="0"/>
                          <w:right w:val="outset" w:color="000000" w:sz="6" w:space="0"/>
                        </w:tcBorders>
                        <w:shd w:val="clear"/>
                        <w:vAlign w:val="top"/>
                      </w:tcPr>
                      <w:p>
                        <w:pPr>
                          <w:jc w:val="left"/>
                          <w:rPr>
                            <w:rFonts w:hint="eastAsia" w:ascii="宋体"/>
                            <w:i w:val="0"/>
                            <w:color w:val="000000"/>
                            <w:sz w:val="22"/>
                            <w:szCs w:val="22"/>
                            <w:u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720" w:hRule="atLeast"/>
                    </w:trPr>
                    <w:tc>
                      <w:tcPr>
                        <w:tcW w:w="5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五区</w:t>
                        </w:r>
                      </w:p>
                    </w:tc>
                    <w:tc>
                      <w:tcPr>
                        <w:tcW w:w="29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美国</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180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240</w:t>
                        </w:r>
                      </w:p>
                    </w:tc>
                    <w:tc>
                      <w:tcPr>
                        <w:tcW w:w="10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75</w:t>
                        </w:r>
                      </w:p>
                    </w:tc>
                    <w:tc>
                      <w:tcPr>
                        <w:tcW w:w="13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5-7</w:t>
                        </w:r>
                      </w:p>
                    </w:tc>
                    <w:tc>
                      <w:tcPr>
                        <w:tcW w:w="16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31.5</w:t>
                        </w:r>
                      </w:p>
                    </w:tc>
                    <w:tc>
                      <w:tcPr>
                        <w:tcW w:w="12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标准5。</w:t>
                        </w:r>
                      </w:p>
                    </w:tc>
                    <w:tc>
                      <w:tcPr>
                        <w:tcW w:w="1660" w:type="dxa"/>
                        <w:vMerge w:val="continue"/>
                        <w:tcBorders>
                          <w:top w:val="outset" w:color="000000" w:sz="6" w:space="0"/>
                          <w:left w:val="outset" w:color="000000" w:sz="6" w:space="0"/>
                          <w:bottom w:val="outset" w:color="000000" w:sz="6" w:space="0"/>
                          <w:right w:val="outset" w:color="000000" w:sz="6" w:space="0"/>
                        </w:tcBorders>
                        <w:shd w:val="clear"/>
                        <w:vAlign w:val="top"/>
                      </w:tcPr>
                      <w:p>
                        <w:pPr>
                          <w:jc w:val="left"/>
                          <w:rPr>
                            <w:rFonts w:hint="eastAsia" w:ascii="宋体"/>
                            <w:i w:val="0"/>
                            <w:color w:val="000000"/>
                            <w:sz w:val="22"/>
                            <w:szCs w:val="22"/>
                            <w:u w:val="none"/>
                          </w:rPr>
                        </w:pPr>
                      </w:p>
                    </w:tc>
                    <w:tc>
                      <w:tcPr>
                        <w:tcW w:w="1554" w:type="dxa"/>
                        <w:vMerge w:val="continue"/>
                        <w:tcBorders>
                          <w:top w:val="outset" w:color="000000" w:sz="6" w:space="0"/>
                          <w:left w:val="outset" w:color="000000" w:sz="6" w:space="0"/>
                          <w:bottom w:val="outset" w:color="000000" w:sz="6" w:space="0"/>
                          <w:right w:val="outset" w:color="000000" w:sz="6" w:space="0"/>
                        </w:tcBorders>
                        <w:shd w:val="clear"/>
                        <w:vAlign w:val="top"/>
                      </w:tcPr>
                      <w:p>
                        <w:pPr>
                          <w:jc w:val="left"/>
                          <w:rPr>
                            <w:rFonts w:hint="eastAsia" w:ascii="宋体"/>
                            <w:i w:val="0"/>
                            <w:color w:val="000000"/>
                            <w:sz w:val="22"/>
                            <w:szCs w:val="22"/>
                            <w:u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1080" w:hRule="atLeast"/>
                    </w:trPr>
                    <w:tc>
                      <w:tcPr>
                        <w:tcW w:w="5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六区</w:t>
                        </w:r>
                      </w:p>
                    </w:tc>
                    <w:tc>
                      <w:tcPr>
                        <w:tcW w:w="29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爱尔兰 奥地利 比利时 丹麦 德国法国 芬兰 荷兰 加拿大 卢森堡马耳他 南非 挪威 葡萄牙 瑞典瑞士 西班牙 希腊 意大利 英国</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220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280</w:t>
                        </w:r>
                      </w:p>
                    </w:tc>
                    <w:tc>
                      <w:tcPr>
                        <w:tcW w:w="10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75</w:t>
                        </w:r>
                      </w:p>
                    </w:tc>
                    <w:tc>
                      <w:tcPr>
                        <w:tcW w:w="13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7-10</w:t>
                        </w:r>
                      </w:p>
                    </w:tc>
                    <w:tc>
                      <w:tcPr>
                        <w:tcW w:w="16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30</w:t>
                        </w:r>
                      </w:p>
                    </w:tc>
                    <w:tc>
                      <w:tcPr>
                        <w:tcW w:w="12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标准1。</w:t>
                        </w:r>
                      </w:p>
                    </w:tc>
                    <w:tc>
                      <w:tcPr>
                        <w:tcW w:w="1660" w:type="dxa"/>
                        <w:vMerge w:val="continue"/>
                        <w:tcBorders>
                          <w:top w:val="outset" w:color="000000" w:sz="6" w:space="0"/>
                          <w:left w:val="outset" w:color="000000" w:sz="6" w:space="0"/>
                          <w:bottom w:val="outset" w:color="000000" w:sz="6" w:space="0"/>
                          <w:right w:val="outset" w:color="000000" w:sz="6" w:space="0"/>
                        </w:tcBorders>
                        <w:shd w:val="clear"/>
                        <w:vAlign w:val="top"/>
                      </w:tcPr>
                      <w:p>
                        <w:pPr>
                          <w:jc w:val="left"/>
                          <w:rPr>
                            <w:rFonts w:hint="eastAsia" w:ascii="宋体"/>
                            <w:i w:val="0"/>
                            <w:color w:val="000000"/>
                            <w:sz w:val="22"/>
                            <w:szCs w:val="22"/>
                            <w:u w:val="none"/>
                          </w:rPr>
                        </w:pPr>
                      </w:p>
                    </w:tc>
                    <w:tc>
                      <w:tcPr>
                        <w:tcW w:w="1554" w:type="dxa"/>
                        <w:vMerge w:val="continue"/>
                        <w:tcBorders>
                          <w:top w:val="outset" w:color="000000" w:sz="6" w:space="0"/>
                          <w:left w:val="outset" w:color="000000" w:sz="6" w:space="0"/>
                          <w:bottom w:val="outset" w:color="000000" w:sz="6" w:space="0"/>
                          <w:right w:val="outset" w:color="000000" w:sz="6" w:space="0"/>
                        </w:tcBorders>
                        <w:shd w:val="clear"/>
                        <w:vAlign w:val="top"/>
                      </w:tcPr>
                      <w:p>
                        <w:pPr>
                          <w:jc w:val="left"/>
                          <w:rPr>
                            <w:rFonts w:hint="eastAsia" w:ascii="宋体"/>
                            <w:i w:val="0"/>
                            <w:color w:val="000000"/>
                            <w:sz w:val="22"/>
                            <w:szCs w:val="22"/>
                            <w:u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720" w:hRule="atLeast"/>
                    </w:trPr>
                    <w:tc>
                      <w:tcPr>
                        <w:tcW w:w="5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七区</w:t>
                        </w:r>
                      </w:p>
                    </w:tc>
                    <w:tc>
                      <w:tcPr>
                        <w:tcW w:w="29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巴基斯坦 老挝 孟加拉国 尼泊尔斯里兰卡 土耳其 印度</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240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300</w:t>
                        </w:r>
                      </w:p>
                    </w:tc>
                    <w:tc>
                      <w:tcPr>
                        <w:tcW w:w="10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80</w:t>
                        </w:r>
                      </w:p>
                    </w:tc>
                    <w:tc>
                      <w:tcPr>
                        <w:tcW w:w="13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3-7</w:t>
                        </w:r>
                      </w:p>
                    </w:tc>
                    <w:tc>
                      <w:tcPr>
                        <w:tcW w:w="16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印度35；其他30</w:t>
                        </w:r>
                      </w:p>
                    </w:tc>
                    <w:tc>
                      <w:tcPr>
                        <w:tcW w:w="12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标准1。</w:t>
                        </w:r>
                      </w:p>
                    </w:tc>
                    <w:tc>
                      <w:tcPr>
                        <w:tcW w:w="1660" w:type="dxa"/>
                        <w:vMerge w:val="continue"/>
                        <w:tcBorders>
                          <w:top w:val="outset" w:color="000000" w:sz="6" w:space="0"/>
                          <w:left w:val="outset" w:color="000000" w:sz="6" w:space="0"/>
                          <w:bottom w:val="outset" w:color="000000" w:sz="6" w:space="0"/>
                          <w:right w:val="outset" w:color="000000" w:sz="6" w:space="0"/>
                        </w:tcBorders>
                        <w:shd w:val="clear"/>
                        <w:vAlign w:val="top"/>
                      </w:tcPr>
                      <w:p>
                        <w:pPr>
                          <w:jc w:val="left"/>
                          <w:rPr>
                            <w:rFonts w:hint="eastAsia" w:ascii="宋体"/>
                            <w:i w:val="0"/>
                            <w:color w:val="000000"/>
                            <w:sz w:val="22"/>
                            <w:szCs w:val="22"/>
                            <w:u w:val="none"/>
                          </w:rPr>
                        </w:pPr>
                      </w:p>
                    </w:tc>
                    <w:tc>
                      <w:tcPr>
                        <w:tcW w:w="1554" w:type="dxa"/>
                        <w:vMerge w:val="continue"/>
                        <w:tcBorders>
                          <w:top w:val="outset" w:color="000000" w:sz="6" w:space="0"/>
                          <w:left w:val="outset" w:color="000000" w:sz="6" w:space="0"/>
                          <w:bottom w:val="outset" w:color="000000" w:sz="6" w:space="0"/>
                          <w:right w:val="outset" w:color="000000" w:sz="6" w:space="0"/>
                        </w:tcBorders>
                        <w:shd w:val="clear"/>
                        <w:vAlign w:val="top"/>
                      </w:tcPr>
                      <w:p>
                        <w:pPr>
                          <w:jc w:val="left"/>
                          <w:rPr>
                            <w:rFonts w:hint="eastAsia" w:ascii="宋体"/>
                            <w:i w:val="0"/>
                            <w:color w:val="000000"/>
                            <w:sz w:val="22"/>
                            <w:szCs w:val="22"/>
                            <w:u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1110" w:hRule="atLeast"/>
                    </w:trPr>
                    <w:tc>
                      <w:tcPr>
                        <w:tcW w:w="5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八区</w:t>
                        </w:r>
                      </w:p>
                    </w:tc>
                    <w:tc>
                      <w:tcPr>
                        <w:tcW w:w="29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阿根廷 阿联酋 巴拿马 巴西 白俄罗斯 波兰 俄罗斯 哥伦比亚 古巴圭亚那 捷克 秘鲁 墨西哥 乌克兰匈牙利 以色列 约旦 乌拉圭 黎巴嫩</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260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335</w:t>
                        </w:r>
                      </w:p>
                    </w:tc>
                    <w:tc>
                      <w:tcPr>
                        <w:tcW w:w="10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100</w:t>
                        </w:r>
                      </w:p>
                    </w:tc>
                    <w:tc>
                      <w:tcPr>
                        <w:tcW w:w="13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7-15</w:t>
                        </w:r>
                      </w:p>
                    </w:tc>
                    <w:tc>
                      <w:tcPr>
                        <w:tcW w:w="16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古巴10，阿根廷、圭亚那、以色列、波兰、乌克兰20；哥伦比亚50；其他30</w:t>
                        </w:r>
                      </w:p>
                    </w:tc>
                    <w:tc>
                      <w:tcPr>
                        <w:tcW w:w="12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阿根廷：标准2；其他：标准1。</w:t>
                        </w:r>
                      </w:p>
                    </w:tc>
                    <w:tc>
                      <w:tcPr>
                        <w:tcW w:w="1660" w:type="dxa"/>
                        <w:vMerge w:val="continue"/>
                        <w:tcBorders>
                          <w:top w:val="outset" w:color="000000" w:sz="6" w:space="0"/>
                          <w:left w:val="outset" w:color="000000" w:sz="6" w:space="0"/>
                          <w:bottom w:val="outset" w:color="000000" w:sz="6" w:space="0"/>
                          <w:right w:val="outset" w:color="000000" w:sz="6" w:space="0"/>
                        </w:tcBorders>
                        <w:shd w:val="clear"/>
                        <w:vAlign w:val="top"/>
                      </w:tcPr>
                      <w:p>
                        <w:pPr>
                          <w:jc w:val="left"/>
                          <w:rPr>
                            <w:rFonts w:hint="eastAsia" w:ascii="宋体"/>
                            <w:i w:val="0"/>
                            <w:color w:val="000000"/>
                            <w:sz w:val="22"/>
                            <w:szCs w:val="22"/>
                            <w:u w:val="none"/>
                          </w:rPr>
                        </w:pPr>
                      </w:p>
                    </w:tc>
                    <w:tc>
                      <w:tcPr>
                        <w:tcW w:w="1554" w:type="dxa"/>
                        <w:vMerge w:val="continue"/>
                        <w:tcBorders>
                          <w:top w:val="outset" w:color="000000" w:sz="6" w:space="0"/>
                          <w:left w:val="outset" w:color="000000" w:sz="6" w:space="0"/>
                          <w:bottom w:val="outset" w:color="000000" w:sz="6" w:space="0"/>
                          <w:right w:val="outset" w:color="000000" w:sz="6" w:space="0"/>
                        </w:tcBorders>
                        <w:shd w:val="clear"/>
                        <w:vAlign w:val="top"/>
                      </w:tcPr>
                      <w:p>
                        <w:pPr>
                          <w:jc w:val="left"/>
                          <w:rPr>
                            <w:rFonts w:hint="eastAsia" w:ascii="宋体"/>
                            <w:i w:val="0"/>
                            <w:color w:val="000000"/>
                            <w:sz w:val="22"/>
                            <w:szCs w:val="22"/>
                            <w:u w:val="none"/>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3001" w:hRule="atLeast"/>
                    </w:trPr>
                    <w:tc>
                      <w:tcPr>
                        <w:tcW w:w="5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九区</w:t>
                        </w:r>
                      </w:p>
                    </w:tc>
                    <w:tc>
                      <w:tcPr>
                        <w:tcW w:w="29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阿曼 埃及 埃塞俄比亚 阿塞拜疆爱沙尼亚 巴林 保加利亚 博茨瓦纳 布基纳法索 刚果（布） 刚果（金） 哈萨克斯坦 吉布提 几内亚 加纳 加蓬 卡塔尔 开曼群岛科特迪瓦 科威特 克罗地亚 肯尼亚 拉脱维亚 卢旺达 罗马尼亚 马达加斯加 马里 摩洛哥 莫桑比克尼日尔 尼日利亚 塞内加尔 塞浦路斯 沙特阿拉伯 突尼斯 乌兹别克斯坦乌干达 叙利亚 伊朗 伊拉克乍得 阿尔及利亚</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370</w:t>
                        </w:r>
                      </w:p>
                    </w:tc>
                    <w:tc>
                      <w:tcPr>
                        <w:tcW w:w="779"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445</w:t>
                        </w:r>
                      </w:p>
                    </w:tc>
                    <w:tc>
                      <w:tcPr>
                        <w:tcW w:w="10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120</w:t>
                        </w:r>
                      </w:p>
                    </w:tc>
                    <w:tc>
                      <w:tcPr>
                        <w:tcW w:w="13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7-20</w:t>
                        </w:r>
                      </w:p>
                    </w:tc>
                    <w:tc>
                      <w:tcPr>
                        <w:tcW w:w="16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哈萨克斯坦、叙利亚、巴林20；开曼群岛10；阿塞拜疆50；肯尼亚、布基纳法索、罗阿尼亚31.5；其他30</w:t>
                        </w:r>
                      </w:p>
                    </w:tc>
                    <w:tc>
                      <w:tcPr>
                        <w:tcW w:w="12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i w:val="0"/>
                            <w:color w:val="000000"/>
                            <w:sz w:val="22"/>
                            <w:szCs w:val="22"/>
                            <w:u w:val="none"/>
                          </w:rPr>
                        </w:pPr>
                        <w:r>
                          <w:rPr>
                            <w:rFonts w:ascii="宋体" w:hAnsi="宋体" w:eastAsia="宋体" w:cs="宋体"/>
                            <w:i w:val="0"/>
                            <w:color w:val="000000"/>
                            <w:kern w:val="0"/>
                            <w:sz w:val="22"/>
                            <w:szCs w:val="22"/>
                            <w:u w:val="none"/>
                            <w:bdr w:val="none" w:color="auto" w:sz="0" w:space="0"/>
                            <w:lang w:val="en-US" w:eastAsia="zh-CN" w:bidi="ar"/>
                          </w:rPr>
                          <w:t>开曼群岛：标准2；其他：标准1。</w:t>
                        </w:r>
                      </w:p>
                    </w:tc>
                    <w:tc>
                      <w:tcPr>
                        <w:tcW w:w="1660" w:type="dxa"/>
                        <w:vMerge w:val="continue"/>
                        <w:tcBorders>
                          <w:top w:val="outset" w:color="000000" w:sz="6" w:space="0"/>
                          <w:left w:val="outset" w:color="000000" w:sz="6" w:space="0"/>
                          <w:bottom w:val="outset" w:color="000000" w:sz="6" w:space="0"/>
                          <w:right w:val="outset" w:color="000000" w:sz="6" w:space="0"/>
                        </w:tcBorders>
                        <w:shd w:val="clear"/>
                        <w:vAlign w:val="top"/>
                      </w:tcPr>
                      <w:p>
                        <w:pPr>
                          <w:jc w:val="left"/>
                          <w:rPr>
                            <w:rFonts w:hint="eastAsia" w:ascii="宋体"/>
                            <w:i w:val="0"/>
                            <w:color w:val="000000"/>
                            <w:sz w:val="22"/>
                            <w:szCs w:val="22"/>
                            <w:u w:val="none"/>
                          </w:rPr>
                        </w:pPr>
                      </w:p>
                    </w:tc>
                    <w:tc>
                      <w:tcPr>
                        <w:tcW w:w="1554" w:type="dxa"/>
                        <w:vMerge w:val="continue"/>
                        <w:tcBorders>
                          <w:top w:val="outset" w:color="000000" w:sz="6" w:space="0"/>
                          <w:left w:val="outset" w:color="000000" w:sz="6" w:space="0"/>
                          <w:bottom w:val="outset" w:color="000000" w:sz="6" w:space="0"/>
                          <w:right w:val="outset" w:color="000000" w:sz="6" w:space="0"/>
                        </w:tcBorders>
                        <w:shd w:val="clear"/>
                        <w:vAlign w:val="top"/>
                      </w:tcPr>
                      <w:p>
                        <w:pPr>
                          <w:jc w:val="left"/>
                          <w:rPr>
                            <w:rFonts w:hint="eastAsia" w:ascii="宋体"/>
                            <w:i w:val="0"/>
                            <w:color w:val="000000"/>
                            <w:sz w:val="22"/>
                            <w:szCs w:val="22"/>
                            <w:u w:val="none"/>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最大限制尺寸标准对照：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标准1：任何一边的尺寸都不得超过1.5米，长度和长度以外的最大横周合计不得超过3.0米；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标准2：任何一边的尺寸都不得超过1.05米，长度和长度以外的最大横周合计不得超过2.0米；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标准3：任何一边的尺寸都不得超过1.05米，长度和长度以外的最大横周合计不得超过2.5米；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标准4：任何一边的尺寸都不得超过1.05米，长度和长度以外的最大横周合计不得超过3.0米；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标准5：任何一边的尺寸都不得超过1.52米，长度和长度以外的最大横周合计不得超过2.74米；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如遇更新以万国邮联最新公布为准。</w:t>
                  </w:r>
                </w:p>
              </w:tc>
            </w:tr>
          </w:tbl>
          <w:p>
            <w:pPr>
              <w:spacing w:before="0" w:beforeAutospacing="0" w:after="0" w:afterAutospacing="0"/>
              <w:ind w:left="0" w:right="0"/>
              <w:jc w:val="left"/>
              <w:rPr>
                <w:rFonts w:hint="default" w:ascii="Times New Roman" w:hAnsi="Times New Roman" w:cs="Times New Roman"/>
                <w:b w:val="0"/>
                <w:i w:val="0"/>
                <w:caps w:val="0"/>
                <w:color w:val="000000"/>
                <w:spacing w:val="0"/>
                <w:sz w:val="27"/>
                <w:szCs w:val="27"/>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40D42"/>
    <w:rsid w:val="63C40D4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Emphasis"/>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2018-11-09T08:56:00Z</dcterms:created>
  <dc:creator>10</dc:creator>
  <cp:lastModifiedBy>10</cp:lastModifiedBy>
  <dcterms:modified xsi:type="dcterms:W3CDTF">2018-11-09T08:57:01Z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