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龙眼港进出口环节收费目录清单（政府性基金、政府定价和政府指导价部分）</w:t>
      </w:r>
    </w:p>
    <w:p>
      <w:pPr>
        <w:jc w:val="center"/>
        <w:rPr>
          <w:rFonts w:hint="eastAsia" w:ascii="方正仿宋_GBK" w:eastAsia="方正仿宋_GBK"/>
          <w:sz w:val="32"/>
          <w:szCs w:val="32"/>
          <w:lang w:eastAsia="zh-CN"/>
        </w:rPr>
      </w:pPr>
    </w:p>
    <w:tbl>
      <w:tblPr>
        <w:tblStyle w:val="3"/>
        <w:tblpPr w:leftFromText="180" w:rightFromText="180" w:vertAnchor="text" w:horzAnchor="page" w:tblpX="1014" w:tblpY="249"/>
        <w:tblOverlap w:val="never"/>
        <w:tblW w:w="14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304"/>
        <w:gridCol w:w="2596"/>
        <w:gridCol w:w="1440"/>
        <w:gridCol w:w="1365"/>
        <w:gridCol w:w="2505"/>
        <w:gridCol w:w="2520"/>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762" w:type="dxa"/>
            <w:vAlign w:val="center"/>
          </w:tcPr>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序号</w:t>
            </w:r>
          </w:p>
        </w:tc>
        <w:tc>
          <w:tcPr>
            <w:tcW w:w="1304" w:type="dxa"/>
            <w:vAlign w:val="center"/>
          </w:tcPr>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收费</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主体</w:t>
            </w:r>
          </w:p>
        </w:tc>
        <w:tc>
          <w:tcPr>
            <w:tcW w:w="2596" w:type="dxa"/>
            <w:vAlign w:val="center"/>
          </w:tcPr>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项目名称</w:t>
            </w:r>
          </w:p>
        </w:tc>
        <w:tc>
          <w:tcPr>
            <w:tcW w:w="1440" w:type="dxa"/>
            <w:tcBorders>
              <w:right w:val="single" w:color="auto" w:sz="4" w:space="0"/>
            </w:tcBorders>
            <w:vAlign w:val="center"/>
          </w:tcPr>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收费标准</w:t>
            </w:r>
          </w:p>
        </w:tc>
        <w:tc>
          <w:tcPr>
            <w:tcW w:w="1365" w:type="dxa"/>
            <w:tcBorders>
              <w:left w:val="single" w:color="auto" w:sz="4" w:space="0"/>
            </w:tcBorders>
            <w:vAlign w:val="center"/>
          </w:tcPr>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计价单位</w:t>
            </w:r>
          </w:p>
        </w:tc>
        <w:tc>
          <w:tcPr>
            <w:tcW w:w="2505" w:type="dxa"/>
            <w:tcBorders>
              <w:right w:val="single" w:color="auto" w:sz="4" w:space="0"/>
            </w:tcBorders>
            <w:vAlign w:val="center"/>
          </w:tcPr>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服务内容</w:t>
            </w:r>
          </w:p>
        </w:tc>
        <w:tc>
          <w:tcPr>
            <w:tcW w:w="2520" w:type="dxa"/>
            <w:tcBorders>
              <w:left w:val="single" w:color="auto" w:sz="4" w:space="0"/>
              <w:right w:val="single" w:color="auto" w:sz="4" w:space="0"/>
            </w:tcBorders>
            <w:vAlign w:val="center"/>
          </w:tcPr>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收费形式及依据</w:t>
            </w:r>
          </w:p>
        </w:tc>
        <w:tc>
          <w:tcPr>
            <w:tcW w:w="1647" w:type="dxa"/>
            <w:tcBorders>
              <w:left w:val="single" w:color="auto" w:sz="4" w:space="0"/>
            </w:tcBorders>
            <w:vAlign w:val="center"/>
          </w:tcPr>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3" w:hRule="atLeast"/>
        </w:trPr>
        <w:tc>
          <w:tcPr>
            <w:tcW w:w="762" w:type="dxa"/>
            <w:vMerge w:val="restart"/>
            <w:vAlign w:val="center"/>
          </w:tcPr>
          <w:p>
            <w:pPr>
              <w:jc w:val="center"/>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1</w:t>
            </w:r>
          </w:p>
        </w:tc>
        <w:tc>
          <w:tcPr>
            <w:tcW w:w="1304" w:type="dxa"/>
            <w:vMerge w:val="restart"/>
            <w:vAlign w:val="center"/>
          </w:tcPr>
          <w:p>
            <w:pPr>
              <w:jc w:val="center"/>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海事部门</w:t>
            </w:r>
          </w:p>
        </w:tc>
        <w:tc>
          <w:tcPr>
            <w:tcW w:w="2596" w:type="dxa"/>
            <w:tcBorders>
              <w:bottom w:val="single" w:color="auto" w:sz="4" w:space="0"/>
            </w:tcBorders>
            <w:vAlign w:val="center"/>
          </w:tcPr>
          <w:p>
            <w:pPr>
              <w:jc w:val="left"/>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val="en-US" w:eastAsia="zh-CN"/>
              </w:rPr>
              <w:t>20尺</w:t>
            </w:r>
            <w:r>
              <w:rPr>
                <w:rFonts w:hint="eastAsia" w:ascii="宋体" w:hAnsi="宋体" w:eastAsia="宋体"/>
                <w:color w:val="000000"/>
                <w:shd w:val="clear" w:color="auto" w:fill="FFFFFF"/>
                <w:lang w:eastAsia="zh-CN"/>
              </w:rPr>
              <w:t>港口建设费</w:t>
            </w:r>
          </w:p>
        </w:tc>
        <w:tc>
          <w:tcPr>
            <w:tcW w:w="1440" w:type="dxa"/>
            <w:tcBorders>
              <w:bottom w:val="single" w:color="auto" w:sz="4" w:space="0"/>
              <w:right w:val="single" w:color="auto" w:sz="4" w:space="0"/>
            </w:tcBorders>
            <w:vAlign w:val="center"/>
          </w:tcPr>
          <w:p>
            <w:pPr>
              <w:jc w:val="center"/>
              <w:rPr>
                <w:rFonts w:hint="eastAsia" w:ascii="宋体" w:hAnsi="宋体" w:eastAsia="宋体"/>
                <w:color w:val="000000"/>
                <w:shd w:val="clear" w:color="auto" w:fill="FFFFFF"/>
                <w:lang w:val="en-US" w:eastAsia="zh-CN"/>
              </w:rPr>
            </w:pPr>
          </w:p>
          <w:p>
            <w:pPr>
              <w:jc w:val="center"/>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64元</w:t>
            </w:r>
          </w:p>
          <w:p>
            <w:pPr>
              <w:jc w:val="center"/>
              <w:rPr>
                <w:rFonts w:hint="eastAsia" w:ascii="宋体" w:hAnsi="宋体" w:eastAsia="宋体"/>
                <w:color w:val="000000"/>
                <w:shd w:val="clear" w:color="auto" w:fill="FFFFFF"/>
                <w:lang w:val="en-US" w:eastAsia="zh-CN"/>
              </w:rPr>
            </w:pPr>
          </w:p>
        </w:tc>
        <w:tc>
          <w:tcPr>
            <w:tcW w:w="1365" w:type="dxa"/>
            <w:tcBorders>
              <w:left w:val="single" w:color="auto" w:sz="4" w:space="0"/>
              <w:bottom w:val="single" w:color="auto" w:sz="4" w:space="0"/>
            </w:tcBorders>
            <w:vAlign w:val="center"/>
          </w:tcPr>
          <w:p>
            <w:pPr>
              <w:jc w:val="left"/>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TEU</w:t>
            </w:r>
          </w:p>
        </w:tc>
        <w:tc>
          <w:tcPr>
            <w:tcW w:w="2505" w:type="dxa"/>
            <w:vMerge w:val="restart"/>
            <w:tcBorders>
              <w:right w:val="single" w:color="auto" w:sz="4" w:space="0"/>
            </w:tcBorders>
            <w:vAlign w:val="top"/>
          </w:tcPr>
          <w:p>
            <w:pPr>
              <w:jc w:val="left"/>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1.收费对象为经对外开放口岸港口辖区范围内所有码头、浮筒、锚地、水域装卸（含过驳）货物的托运人（或其代理人）或收货人（或其代理人）。减、免、缓征货物征收按照财综〔2011〕29号及相关规定执行。</w:t>
            </w:r>
            <w:r>
              <w:rPr>
                <w:rFonts w:hint="eastAsia" w:ascii="宋体" w:hAnsi="宋体" w:eastAsia="宋体"/>
                <w:color w:val="000000"/>
                <w:shd w:val="clear" w:color="auto" w:fill="FFFFFF"/>
                <w:lang w:eastAsia="zh-CN"/>
              </w:rPr>
              <w:br w:type="textWrapping"/>
            </w:r>
            <w:r>
              <w:rPr>
                <w:rFonts w:hint="eastAsia" w:ascii="宋体" w:hAnsi="宋体" w:eastAsia="宋体"/>
                <w:color w:val="000000"/>
                <w:shd w:val="clear" w:color="auto" w:fill="FFFFFF"/>
                <w:lang w:eastAsia="zh-CN"/>
              </w:rPr>
              <w:t>2.自2016年4月1日起，对水运进港货物中属于船过船作业以及卸船未提离港口库场又直接办理转船转运的，无论收货人（或其代理人）是否发生变更，在水运全过程只征收一次港口建设费。</w:t>
            </w:r>
          </w:p>
        </w:tc>
        <w:tc>
          <w:tcPr>
            <w:tcW w:w="2520" w:type="dxa"/>
            <w:vMerge w:val="restart"/>
            <w:tcBorders>
              <w:left w:val="single" w:color="auto" w:sz="4" w:space="0"/>
              <w:right w:val="single" w:color="auto" w:sz="4" w:space="0"/>
            </w:tcBorders>
            <w:vAlign w:val="top"/>
          </w:tcPr>
          <w:p>
            <w:pPr>
              <w:jc w:val="left"/>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政府基金。依据财综〔2011〕29号、财综便字〔2011〕208号、海征稽〔2011〕492号、海征稽〔2011〕860号、财综〔2012〕40号、财税〔2015〕131号、海征稽〔2016〕114号、海征稽〔2016〕557号、海征稽〔2017〕61号、财审综函〔2018〕74号、海征稽〔2018〕304号等文件收取。</w:t>
            </w:r>
          </w:p>
        </w:tc>
        <w:tc>
          <w:tcPr>
            <w:tcW w:w="1647" w:type="dxa"/>
            <w:vMerge w:val="restart"/>
            <w:tcBorders>
              <w:left w:val="single" w:color="auto" w:sz="4" w:space="0"/>
            </w:tcBorders>
            <w:vAlign w:val="center"/>
          </w:tcPr>
          <w:p>
            <w:pPr>
              <w:jc w:val="left"/>
              <w:rPr>
                <w:rFonts w:hint="eastAsia" w:ascii="宋体" w:hAnsi="宋体" w:eastAsia="宋体"/>
                <w:color w:val="00000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7" w:hRule="atLeast"/>
        </w:trPr>
        <w:tc>
          <w:tcPr>
            <w:tcW w:w="762" w:type="dxa"/>
            <w:vMerge w:val="continue"/>
            <w:tcBorders>
              <w:bottom w:val="nil"/>
            </w:tcBorders>
            <w:vAlign w:val="center"/>
          </w:tcPr>
          <w:p>
            <w:pPr>
              <w:jc w:val="center"/>
              <w:rPr>
                <w:rFonts w:hint="eastAsia" w:ascii="宋体" w:hAnsi="宋体" w:eastAsia="宋体"/>
                <w:color w:val="000000"/>
                <w:shd w:val="clear" w:color="auto" w:fill="FFFFFF"/>
                <w:lang w:eastAsia="zh-CN"/>
              </w:rPr>
            </w:pPr>
          </w:p>
        </w:tc>
        <w:tc>
          <w:tcPr>
            <w:tcW w:w="1304" w:type="dxa"/>
            <w:vMerge w:val="continue"/>
            <w:tcBorders>
              <w:bottom w:val="nil"/>
            </w:tcBorders>
            <w:vAlign w:val="center"/>
          </w:tcPr>
          <w:p>
            <w:pPr>
              <w:jc w:val="center"/>
              <w:rPr>
                <w:rFonts w:hint="eastAsia" w:ascii="宋体" w:hAnsi="宋体" w:eastAsia="宋体"/>
                <w:color w:val="000000"/>
                <w:shd w:val="clear" w:color="auto" w:fill="FFFFFF"/>
                <w:lang w:eastAsia="zh-CN"/>
              </w:rPr>
            </w:pPr>
          </w:p>
        </w:tc>
        <w:tc>
          <w:tcPr>
            <w:tcW w:w="2596" w:type="dxa"/>
            <w:tcBorders>
              <w:bottom w:val="single" w:color="auto" w:sz="4" w:space="0"/>
            </w:tcBorders>
            <w:vAlign w:val="center"/>
          </w:tcPr>
          <w:p>
            <w:pPr>
              <w:jc w:val="left"/>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val="en-US" w:eastAsia="zh-CN"/>
              </w:rPr>
              <w:t>40尺</w:t>
            </w:r>
            <w:r>
              <w:rPr>
                <w:rFonts w:hint="eastAsia" w:ascii="宋体" w:hAnsi="宋体" w:eastAsia="宋体"/>
                <w:color w:val="000000"/>
                <w:shd w:val="clear" w:color="auto" w:fill="FFFFFF"/>
                <w:lang w:eastAsia="zh-CN"/>
              </w:rPr>
              <w:t>港口建设费</w:t>
            </w:r>
          </w:p>
        </w:tc>
        <w:tc>
          <w:tcPr>
            <w:tcW w:w="1440" w:type="dxa"/>
            <w:tcBorders>
              <w:bottom w:val="single" w:color="auto" w:sz="4" w:space="0"/>
              <w:right w:val="single" w:color="auto" w:sz="4" w:space="0"/>
            </w:tcBorders>
            <w:vAlign w:val="center"/>
          </w:tcPr>
          <w:p>
            <w:pPr>
              <w:jc w:val="center"/>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96元</w:t>
            </w:r>
          </w:p>
        </w:tc>
        <w:tc>
          <w:tcPr>
            <w:tcW w:w="1365" w:type="dxa"/>
            <w:tcBorders>
              <w:left w:val="single" w:color="auto" w:sz="4" w:space="0"/>
              <w:bottom w:val="single" w:color="auto" w:sz="4" w:space="0"/>
            </w:tcBorders>
            <w:vAlign w:val="center"/>
          </w:tcPr>
          <w:p>
            <w:pPr>
              <w:jc w:val="left"/>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FEU</w:t>
            </w:r>
          </w:p>
        </w:tc>
        <w:tc>
          <w:tcPr>
            <w:tcW w:w="2505" w:type="dxa"/>
            <w:vMerge w:val="continue"/>
            <w:tcBorders>
              <w:bottom w:val="single" w:color="auto" w:sz="4" w:space="0"/>
              <w:right w:val="single" w:color="auto" w:sz="4" w:space="0"/>
            </w:tcBorders>
            <w:vAlign w:val="top"/>
          </w:tcPr>
          <w:p>
            <w:pPr>
              <w:jc w:val="left"/>
              <w:rPr>
                <w:rFonts w:hint="eastAsia" w:ascii="宋体" w:hAnsi="宋体" w:eastAsia="宋体"/>
                <w:color w:val="000000"/>
                <w:shd w:val="clear" w:color="auto" w:fill="FFFFFF"/>
                <w:lang w:eastAsia="zh-CN"/>
              </w:rPr>
            </w:pPr>
          </w:p>
        </w:tc>
        <w:tc>
          <w:tcPr>
            <w:tcW w:w="2520" w:type="dxa"/>
            <w:vMerge w:val="continue"/>
            <w:tcBorders>
              <w:left w:val="single" w:color="auto" w:sz="4" w:space="0"/>
              <w:bottom w:val="single" w:color="auto" w:sz="4" w:space="0"/>
              <w:right w:val="single" w:color="auto" w:sz="4" w:space="0"/>
            </w:tcBorders>
            <w:vAlign w:val="top"/>
          </w:tcPr>
          <w:p>
            <w:pPr>
              <w:jc w:val="left"/>
              <w:rPr>
                <w:rFonts w:hint="eastAsia" w:ascii="宋体" w:hAnsi="宋体" w:eastAsia="宋体"/>
                <w:color w:val="000000"/>
                <w:shd w:val="clear" w:color="auto" w:fill="FFFFFF"/>
                <w:lang w:eastAsia="zh-CN"/>
              </w:rPr>
            </w:pPr>
          </w:p>
        </w:tc>
        <w:tc>
          <w:tcPr>
            <w:tcW w:w="1647" w:type="dxa"/>
            <w:vMerge w:val="continue"/>
            <w:tcBorders>
              <w:left w:val="single" w:color="auto" w:sz="4" w:space="0"/>
              <w:bottom w:val="single" w:color="auto" w:sz="4" w:space="0"/>
            </w:tcBorders>
            <w:vAlign w:val="center"/>
          </w:tcPr>
          <w:p>
            <w:pPr>
              <w:jc w:val="left"/>
              <w:rPr>
                <w:rFonts w:hint="eastAsia" w:ascii="宋体" w:hAnsi="宋体" w:eastAsia="宋体"/>
                <w:color w:val="00000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8" w:hRule="atLeast"/>
        </w:trPr>
        <w:tc>
          <w:tcPr>
            <w:tcW w:w="762" w:type="dxa"/>
            <w:vMerge w:val="restart"/>
            <w:tcBorders>
              <w:top w:val="single" w:color="auto" w:sz="4" w:space="0"/>
            </w:tcBorders>
            <w:vAlign w:val="center"/>
          </w:tcPr>
          <w:p>
            <w:pPr>
              <w:jc w:val="center"/>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2</w:t>
            </w:r>
          </w:p>
        </w:tc>
        <w:tc>
          <w:tcPr>
            <w:tcW w:w="1304" w:type="dxa"/>
            <w:vMerge w:val="restart"/>
            <w:tcBorders>
              <w:top w:val="single" w:color="auto" w:sz="4" w:space="0"/>
            </w:tcBorders>
            <w:vAlign w:val="center"/>
          </w:tcPr>
          <w:p>
            <w:pPr>
              <w:jc w:val="center"/>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西霞口外轮理货公司</w:t>
            </w:r>
          </w:p>
        </w:tc>
        <w:tc>
          <w:tcPr>
            <w:tcW w:w="2596" w:type="dxa"/>
            <w:tcBorders>
              <w:top w:val="single" w:color="auto" w:sz="4" w:space="0"/>
            </w:tcBorders>
            <w:vAlign w:val="center"/>
          </w:tcPr>
          <w:p>
            <w:pPr>
              <w:jc w:val="left"/>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20尺保安费</w:t>
            </w:r>
          </w:p>
        </w:tc>
        <w:tc>
          <w:tcPr>
            <w:tcW w:w="1440" w:type="dxa"/>
            <w:tcBorders>
              <w:top w:val="single" w:color="auto" w:sz="4" w:space="0"/>
              <w:right w:val="single" w:color="auto" w:sz="4" w:space="0"/>
            </w:tcBorders>
            <w:vAlign w:val="center"/>
          </w:tcPr>
          <w:p>
            <w:pPr>
              <w:jc w:val="center"/>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10元</w:t>
            </w:r>
          </w:p>
        </w:tc>
        <w:tc>
          <w:tcPr>
            <w:tcW w:w="1365" w:type="dxa"/>
            <w:tcBorders>
              <w:top w:val="single" w:color="auto" w:sz="4" w:space="0"/>
              <w:left w:val="single" w:color="auto" w:sz="4" w:space="0"/>
            </w:tcBorders>
            <w:vAlign w:val="center"/>
          </w:tcPr>
          <w:p>
            <w:pPr>
              <w:jc w:val="left"/>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TEU</w:t>
            </w:r>
          </w:p>
        </w:tc>
        <w:tc>
          <w:tcPr>
            <w:tcW w:w="2505" w:type="dxa"/>
            <w:vMerge w:val="restart"/>
            <w:tcBorders>
              <w:top w:val="single" w:color="auto" w:sz="4" w:space="0"/>
              <w:right w:val="single" w:color="auto" w:sz="4" w:space="0"/>
            </w:tcBorders>
            <w:vAlign w:val="top"/>
          </w:tcPr>
          <w:p>
            <w:pPr>
              <w:jc w:val="left"/>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经由港口吞吐的外贸进出口货物及集装箱，由取得《港口设施保安符合证书》的港口经营人，按《港口收费计费办法》规定费率向货方或其代理人分别计收进、出港港口设施保安费。</w:t>
            </w:r>
          </w:p>
        </w:tc>
        <w:tc>
          <w:tcPr>
            <w:tcW w:w="2520" w:type="dxa"/>
            <w:vMerge w:val="restart"/>
            <w:tcBorders>
              <w:top w:val="single" w:color="auto" w:sz="4" w:space="0"/>
              <w:left w:val="single" w:color="auto" w:sz="4" w:space="0"/>
              <w:right w:val="single" w:color="auto" w:sz="4" w:space="0"/>
            </w:tcBorders>
            <w:vAlign w:val="top"/>
          </w:tcPr>
          <w:p>
            <w:pPr>
              <w:jc w:val="left"/>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经营服务性收费（政府定价）。依据《港口收费计费办法》和《交通运输部 国家发展改革委关于调整港口船舶使费和港口设施保安费有关问题的通知》（交水发〔2015〕118号）等文件收取。</w:t>
            </w:r>
          </w:p>
        </w:tc>
        <w:tc>
          <w:tcPr>
            <w:tcW w:w="1647" w:type="dxa"/>
            <w:vMerge w:val="restart"/>
            <w:tcBorders>
              <w:top w:val="single" w:color="auto" w:sz="4" w:space="0"/>
              <w:left w:val="single" w:color="auto" w:sz="4" w:space="0"/>
            </w:tcBorders>
            <w:vAlign w:val="center"/>
          </w:tcPr>
          <w:p>
            <w:pPr>
              <w:jc w:val="left"/>
              <w:rPr>
                <w:rFonts w:hint="eastAsia" w:ascii="宋体" w:hAnsi="宋体" w:eastAsia="宋体"/>
                <w:color w:val="00000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5" w:hRule="atLeast"/>
        </w:trPr>
        <w:tc>
          <w:tcPr>
            <w:tcW w:w="762" w:type="dxa"/>
            <w:vMerge w:val="continue"/>
            <w:tcBorders>
              <w:bottom w:val="nil"/>
            </w:tcBorders>
            <w:vAlign w:val="center"/>
          </w:tcPr>
          <w:p>
            <w:pPr>
              <w:jc w:val="center"/>
              <w:rPr>
                <w:rFonts w:hint="eastAsia" w:ascii="宋体" w:hAnsi="宋体" w:eastAsia="宋体"/>
                <w:color w:val="000000"/>
                <w:shd w:val="clear" w:color="auto" w:fill="FFFFFF"/>
                <w:lang w:eastAsia="zh-CN"/>
              </w:rPr>
            </w:pPr>
          </w:p>
        </w:tc>
        <w:tc>
          <w:tcPr>
            <w:tcW w:w="1304" w:type="dxa"/>
            <w:vMerge w:val="continue"/>
            <w:tcBorders>
              <w:bottom w:val="nil"/>
            </w:tcBorders>
            <w:vAlign w:val="center"/>
          </w:tcPr>
          <w:p>
            <w:pPr>
              <w:jc w:val="center"/>
              <w:rPr>
                <w:rFonts w:hint="eastAsia" w:ascii="宋体" w:hAnsi="宋体" w:eastAsia="宋体"/>
                <w:color w:val="000000"/>
                <w:shd w:val="clear" w:color="auto" w:fill="FFFFFF"/>
                <w:lang w:eastAsia="zh-CN"/>
              </w:rPr>
            </w:pPr>
          </w:p>
        </w:tc>
        <w:tc>
          <w:tcPr>
            <w:tcW w:w="2596" w:type="dxa"/>
            <w:tcBorders>
              <w:top w:val="single" w:color="auto" w:sz="4" w:space="0"/>
            </w:tcBorders>
            <w:vAlign w:val="center"/>
          </w:tcPr>
          <w:p>
            <w:pPr>
              <w:jc w:val="left"/>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40尺保安费</w:t>
            </w:r>
          </w:p>
        </w:tc>
        <w:tc>
          <w:tcPr>
            <w:tcW w:w="1440" w:type="dxa"/>
            <w:tcBorders>
              <w:top w:val="single" w:color="auto" w:sz="4" w:space="0"/>
              <w:right w:val="single" w:color="auto" w:sz="4" w:space="0"/>
            </w:tcBorders>
            <w:vAlign w:val="center"/>
          </w:tcPr>
          <w:p>
            <w:pPr>
              <w:jc w:val="center"/>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15元</w:t>
            </w:r>
          </w:p>
        </w:tc>
        <w:tc>
          <w:tcPr>
            <w:tcW w:w="1365" w:type="dxa"/>
            <w:tcBorders>
              <w:top w:val="single" w:color="auto" w:sz="4" w:space="0"/>
              <w:left w:val="single" w:color="auto" w:sz="4" w:space="0"/>
            </w:tcBorders>
            <w:vAlign w:val="center"/>
          </w:tcPr>
          <w:p>
            <w:pPr>
              <w:jc w:val="left"/>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FEU</w:t>
            </w:r>
          </w:p>
        </w:tc>
        <w:tc>
          <w:tcPr>
            <w:tcW w:w="2505" w:type="dxa"/>
            <w:vMerge w:val="continue"/>
            <w:tcBorders>
              <w:right w:val="single" w:color="auto" w:sz="4" w:space="0"/>
            </w:tcBorders>
            <w:vAlign w:val="top"/>
          </w:tcPr>
          <w:p>
            <w:pPr>
              <w:jc w:val="left"/>
              <w:rPr>
                <w:rFonts w:hint="eastAsia" w:ascii="宋体" w:hAnsi="宋体" w:eastAsia="宋体"/>
                <w:color w:val="000000"/>
                <w:shd w:val="clear" w:color="auto" w:fill="FFFFFF"/>
                <w:lang w:eastAsia="zh-CN"/>
              </w:rPr>
            </w:pPr>
          </w:p>
        </w:tc>
        <w:tc>
          <w:tcPr>
            <w:tcW w:w="2520" w:type="dxa"/>
            <w:vMerge w:val="continue"/>
            <w:tcBorders>
              <w:left w:val="single" w:color="auto" w:sz="4" w:space="0"/>
              <w:right w:val="single" w:color="auto" w:sz="4" w:space="0"/>
            </w:tcBorders>
            <w:vAlign w:val="top"/>
          </w:tcPr>
          <w:p>
            <w:pPr>
              <w:jc w:val="left"/>
              <w:rPr>
                <w:rFonts w:hint="eastAsia" w:ascii="宋体" w:hAnsi="宋体" w:eastAsia="宋体"/>
                <w:color w:val="000000"/>
                <w:shd w:val="clear" w:color="auto" w:fill="FFFFFF"/>
                <w:lang w:eastAsia="zh-CN"/>
              </w:rPr>
            </w:pPr>
          </w:p>
        </w:tc>
        <w:tc>
          <w:tcPr>
            <w:tcW w:w="1647" w:type="dxa"/>
            <w:vMerge w:val="continue"/>
            <w:tcBorders>
              <w:left w:val="single" w:color="auto" w:sz="4" w:space="0"/>
            </w:tcBorders>
            <w:vAlign w:val="center"/>
          </w:tcPr>
          <w:p>
            <w:pPr>
              <w:jc w:val="left"/>
              <w:rPr>
                <w:rFonts w:hint="eastAsia" w:ascii="宋体" w:hAnsi="宋体" w:eastAsia="宋体"/>
                <w:color w:val="00000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762" w:type="dxa"/>
            <w:vMerge w:val="restart"/>
            <w:vAlign w:val="center"/>
          </w:tcPr>
          <w:p>
            <w:pPr>
              <w:jc w:val="center"/>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3</w:t>
            </w:r>
          </w:p>
        </w:tc>
        <w:tc>
          <w:tcPr>
            <w:tcW w:w="1304" w:type="dxa"/>
            <w:vMerge w:val="restart"/>
            <w:vAlign w:val="center"/>
          </w:tcPr>
          <w:p>
            <w:pPr>
              <w:jc w:val="center"/>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西霞口集装箱中转站</w:t>
            </w:r>
          </w:p>
        </w:tc>
        <w:tc>
          <w:tcPr>
            <w:tcW w:w="2596" w:type="dxa"/>
            <w:tcBorders>
              <w:top w:val="single" w:color="auto" w:sz="4" w:space="0"/>
            </w:tcBorders>
            <w:vAlign w:val="center"/>
          </w:tcPr>
          <w:p>
            <w:pPr>
              <w:jc w:val="left"/>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20尺人工查验服务费</w:t>
            </w:r>
          </w:p>
        </w:tc>
        <w:tc>
          <w:tcPr>
            <w:tcW w:w="1440" w:type="dxa"/>
            <w:tcBorders>
              <w:top w:val="single" w:color="auto" w:sz="4" w:space="0"/>
              <w:right w:val="single" w:color="auto" w:sz="4" w:space="0"/>
            </w:tcBorders>
            <w:vAlign w:val="center"/>
          </w:tcPr>
          <w:p>
            <w:pPr>
              <w:jc w:val="center"/>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550元</w:t>
            </w:r>
          </w:p>
        </w:tc>
        <w:tc>
          <w:tcPr>
            <w:tcW w:w="1365" w:type="dxa"/>
            <w:tcBorders>
              <w:top w:val="single" w:color="auto" w:sz="4" w:space="0"/>
              <w:left w:val="single" w:color="auto" w:sz="4" w:space="0"/>
            </w:tcBorders>
            <w:vAlign w:val="center"/>
          </w:tcPr>
          <w:p>
            <w:pPr>
              <w:jc w:val="left"/>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TEU</w:t>
            </w:r>
          </w:p>
        </w:tc>
        <w:tc>
          <w:tcPr>
            <w:tcW w:w="2505" w:type="dxa"/>
            <w:tcBorders>
              <w:top w:val="single" w:color="auto" w:sz="4" w:space="0"/>
              <w:right w:val="single" w:color="auto" w:sz="4" w:space="0"/>
            </w:tcBorders>
            <w:vAlign w:val="center"/>
          </w:tcPr>
          <w:p>
            <w:pPr>
              <w:jc w:val="both"/>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查验包干</w:t>
            </w:r>
          </w:p>
        </w:tc>
        <w:tc>
          <w:tcPr>
            <w:tcW w:w="2520" w:type="dxa"/>
            <w:vMerge w:val="restart"/>
            <w:tcBorders>
              <w:top w:val="single" w:color="auto" w:sz="4" w:space="0"/>
              <w:left w:val="single" w:color="auto" w:sz="4" w:space="0"/>
              <w:right w:val="single" w:color="auto" w:sz="4" w:space="0"/>
            </w:tcBorders>
            <w:vAlign w:val="top"/>
          </w:tcPr>
          <w:p>
            <w:pPr>
              <w:jc w:val="left"/>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eastAsia="zh-CN"/>
              </w:rPr>
              <w:t>经营服务性收费（政府指导价。依据《山东省人民政府办公厅关于印发山东省关于免除查验没有问题外贸企业吊装移位仓储费用全面试点工作的实施方案的通知》（鲁政办字[2016]47号）、《威海市口岸办公室威海市物价局威海市财政局关于威海市查验没有问题外贸企业吊装移位仓储费用补贴的意见》（威口岸字[2017]4号）、《关于印发威海市口岸查验没有问题外贸企业吊装移位仓储费用机检补贴标准的通知》（威口岸字[2018]3号）</w:t>
            </w:r>
          </w:p>
        </w:tc>
        <w:tc>
          <w:tcPr>
            <w:tcW w:w="1647" w:type="dxa"/>
            <w:vMerge w:val="restart"/>
            <w:tcBorders>
              <w:top w:val="single" w:color="auto" w:sz="4" w:space="0"/>
              <w:left w:val="single" w:color="auto" w:sz="4" w:space="0"/>
            </w:tcBorders>
            <w:vAlign w:val="center"/>
          </w:tcPr>
          <w:p>
            <w:pPr>
              <w:jc w:val="left"/>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查验无问题不收取，查验有问题收取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rPr>
        <w:tc>
          <w:tcPr>
            <w:tcW w:w="762" w:type="dxa"/>
            <w:vMerge w:val="continue"/>
            <w:vAlign w:val="center"/>
          </w:tcPr>
          <w:p>
            <w:pPr>
              <w:jc w:val="center"/>
              <w:rPr>
                <w:rFonts w:hint="eastAsia" w:ascii="宋体" w:hAnsi="宋体" w:eastAsia="宋体"/>
                <w:color w:val="000000"/>
                <w:shd w:val="clear" w:color="auto" w:fill="FFFFFF"/>
                <w:lang w:eastAsia="zh-CN"/>
              </w:rPr>
            </w:pPr>
          </w:p>
        </w:tc>
        <w:tc>
          <w:tcPr>
            <w:tcW w:w="1304" w:type="dxa"/>
            <w:vMerge w:val="continue"/>
            <w:vAlign w:val="center"/>
          </w:tcPr>
          <w:p>
            <w:pPr>
              <w:jc w:val="center"/>
              <w:rPr>
                <w:rFonts w:hint="eastAsia" w:ascii="宋体" w:hAnsi="宋体" w:eastAsia="宋体"/>
                <w:color w:val="000000"/>
                <w:shd w:val="clear" w:color="auto" w:fill="FFFFFF"/>
                <w:lang w:eastAsia="zh-CN"/>
              </w:rPr>
            </w:pPr>
          </w:p>
        </w:tc>
        <w:tc>
          <w:tcPr>
            <w:tcW w:w="2596" w:type="dxa"/>
            <w:tcBorders>
              <w:top w:val="single" w:color="auto" w:sz="4" w:space="0"/>
            </w:tcBorders>
            <w:vAlign w:val="center"/>
          </w:tcPr>
          <w:p>
            <w:pPr>
              <w:jc w:val="left"/>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40尺人工查验服务费</w:t>
            </w:r>
          </w:p>
        </w:tc>
        <w:tc>
          <w:tcPr>
            <w:tcW w:w="1440" w:type="dxa"/>
            <w:tcBorders>
              <w:top w:val="single" w:color="auto" w:sz="4" w:space="0"/>
              <w:right w:val="single" w:color="auto" w:sz="4" w:space="0"/>
            </w:tcBorders>
            <w:vAlign w:val="center"/>
          </w:tcPr>
          <w:p>
            <w:pPr>
              <w:jc w:val="center"/>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1000元</w:t>
            </w:r>
          </w:p>
        </w:tc>
        <w:tc>
          <w:tcPr>
            <w:tcW w:w="1365" w:type="dxa"/>
            <w:tcBorders>
              <w:top w:val="single" w:color="auto" w:sz="4" w:space="0"/>
              <w:left w:val="single" w:color="auto" w:sz="4" w:space="0"/>
            </w:tcBorders>
            <w:vAlign w:val="center"/>
          </w:tcPr>
          <w:p>
            <w:pPr>
              <w:jc w:val="left"/>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val="en-US" w:eastAsia="zh-CN"/>
              </w:rPr>
              <w:t>FEU</w:t>
            </w:r>
          </w:p>
        </w:tc>
        <w:tc>
          <w:tcPr>
            <w:tcW w:w="2505" w:type="dxa"/>
            <w:tcBorders>
              <w:top w:val="single" w:color="auto" w:sz="4" w:space="0"/>
              <w:right w:val="single" w:color="auto" w:sz="4" w:space="0"/>
            </w:tcBorders>
            <w:vAlign w:val="center"/>
          </w:tcPr>
          <w:p>
            <w:pPr>
              <w:jc w:val="both"/>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查验包干</w:t>
            </w:r>
          </w:p>
        </w:tc>
        <w:tc>
          <w:tcPr>
            <w:tcW w:w="2520" w:type="dxa"/>
            <w:vMerge w:val="continue"/>
            <w:tcBorders>
              <w:left w:val="single" w:color="auto" w:sz="4" w:space="0"/>
              <w:right w:val="single" w:color="auto" w:sz="4" w:space="0"/>
            </w:tcBorders>
            <w:vAlign w:val="top"/>
          </w:tcPr>
          <w:p>
            <w:pPr>
              <w:jc w:val="left"/>
              <w:rPr>
                <w:rFonts w:hint="eastAsia" w:ascii="宋体" w:hAnsi="宋体" w:eastAsia="宋体"/>
                <w:color w:val="000000"/>
                <w:shd w:val="clear" w:color="auto" w:fill="FFFFFF"/>
                <w:lang w:eastAsia="zh-CN"/>
              </w:rPr>
            </w:pPr>
          </w:p>
        </w:tc>
        <w:tc>
          <w:tcPr>
            <w:tcW w:w="1647" w:type="dxa"/>
            <w:vMerge w:val="continue"/>
            <w:tcBorders>
              <w:left w:val="single" w:color="auto" w:sz="4" w:space="0"/>
            </w:tcBorders>
            <w:vAlign w:val="center"/>
          </w:tcPr>
          <w:p>
            <w:pPr>
              <w:jc w:val="left"/>
              <w:rPr>
                <w:rFonts w:hint="eastAsia" w:ascii="宋体" w:hAnsi="宋体" w:eastAsia="宋体"/>
                <w:color w:val="00000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trPr>
        <w:tc>
          <w:tcPr>
            <w:tcW w:w="762" w:type="dxa"/>
            <w:vMerge w:val="continue"/>
            <w:vAlign w:val="center"/>
          </w:tcPr>
          <w:p>
            <w:pPr>
              <w:jc w:val="center"/>
              <w:rPr>
                <w:rFonts w:hint="eastAsia" w:ascii="宋体" w:hAnsi="宋体" w:eastAsia="宋体"/>
                <w:color w:val="000000"/>
                <w:shd w:val="clear" w:color="auto" w:fill="FFFFFF"/>
                <w:lang w:eastAsia="zh-CN"/>
              </w:rPr>
            </w:pPr>
          </w:p>
        </w:tc>
        <w:tc>
          <w:tcPr>
            <w:tcW w:w="1304" w:type="dxa"/>
            <w:vMerge w:val="continue"/>
            <w:vAlign w:val="center"/>
          </w:tcPr>
          <w:p>
            <w:pPr>
              <w:jc w:val="center"/>
              <w:rPr>
                <w:rFonts w:hint="eastAsia" w:ascii="宋体" w:hAnsi="宋体" w:eastAsia="宋体"/>
                <w:color w:val="000000"/>
                <w:shd w:val="clear" w:color="auto" w:fill="FFFFFF"/>
                <w:lang w:eastAsia="zh-CN"/>
              </w:rPr>
            </w:pPr>
          </w:p>
        </w:tc>
        <w:tc>
          <w:tcPr>
            <w:tcW w:w="2596" w:type="dxa"/>
            <w:tcBorders>
              <w:top w:val="single" w:color="auto" w:sz="4" w:space="0"/>
            </w:tcBorders>
            <w:vAlign w:val="center"/>
          </w:tcPr>
          <w:p>
            <w:pPr>
              <w:jc w:val="left"/>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20尺机检查验服务费</w:t>
            </w:r>
          </w:p>
        </w:tc>
        <w:tc>
          <w:tcPr>
            <w:tcW w:w="1440" w:type="dxa"/>
            <w:tcBorders>
              <w:top w:val="single" w:color="auto" w:sz="4" w:space="0"/>
              <w:right w:val="single" w:color="auto" w:sz="4" w:space="0"/>
            </w:tcBorders>
            <w:vAlign w:val="center"/>
          </w:tcPr>
          <w:p>
            <w:pPr>
              <w:jc w:val="center"/>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672元</w:t>
            </w:r>
          </w:p>
        </w:tc>
        <w:tc>
          <w:tcPr>
            <w:tcW w:w="1365" w:type="dxa"/>
            <w:tcBorders>
              <w:top w:val="single" w:color="auto" w:sz="4" w:space="0"/>
              <w:left w:val="single" w:color="auto" w:sz="4" w:space="0"/>
            </w:tcBorders>
            <w:vAlign w:val="center"/>
          </w:tcPr>
          <w:p>
            <w:pPr>
              <w:jc w:val="left"/>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val="en-US" w:eastAsia="zh-CN"/>
              </w:rPr>
              <w:t>TEU</w:t>
            </w:r>
          </w:p>
        </w:tc>
        <w:tc>
          <w:tcPr>
            <w:tcW w:w="2505" w:type="dxa"/>
            <w:tcBorders>
              <w:top w:val="single" w:color="auto" w:sz="4" w:space="0"/>
              <w:right w:val="single" w:color="auto" w:sz="4" w:space="0"/>
            </w:tcBorders>
            <w:vAlign w:val="center"/>
          </w:tcPr>
          <w:p>
            <w:pPr>
              <w:jc w:val="both"/>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查验包干</w:t>
            </w:r>
          </w:p>
        </w:tc>
        <w:tc>
          <w:tcPr>
            <w:tcW w:w="2520" w:type="dxa"/>
            <w:vMerge w:val="continue"/>
            <w:tcBorders>
              <w:left w:val="single" w:color="auto" w:sz="4" w:space="0"/>
              <w:right w:val="single" w:color="auto" w:sz="4" w:space="0"/>
            </w:tcBorders>
            <w:vAlign w:val="top"/>
          </w:tcPr>
          <w:p>
            <w:pPr>
              <w:jc w:val="left"/>
              <w:rPr>
                <w:rFonts w:hint="eastAsia" w:ascii="宋体" w:hAnsi="宋体" w:eastAsia="宋体"/>
                <w:color w:val="000000"/>
                <w:shd w:val="clear" w:color="auto" w:fill="FFFFFF"/>
                <w:lang w:eastAsia="zh-CN"/>
              </w:rPr>
            </w:pPr>
          </w:p>
        </w:tc>
        <w:tc>
          <w:tcPr>
            <w:tcW w:w="1647" w:type="dxa"/>
            <w:vMerge w:val="continue"/>
            <w:tcBorders>
              <w:left w:val="single" w:color="auto" w:sz="4" w:space="0"/>
            </w:tcBorders>
            <w:vAlign w:val="center"/>
          </w:tcPr>
          <w:p>
            <w:pPr>
              <w:jc w:val="left"/>
              <w:rPr>
                <w:rFonts w:hint="eastAsia" w:ascii="宋体" w:hAnsi="宋体" w:eastAsia="宋体"/>
                <w:color w:val="000000"/>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3" w:hRule="atLeast"/>
        </w:trPr>
        <w:tc>
          <w:tcPr>
            <w:tcW w:w="762" w:type="dxa"/>
            <w:vMerge w:val="continue"/>
            <w:vAlign w:val="center"/>
          </w:tcPr>
          <w:p>
            <w:pPr>
              <w:jc w:val="center"/>
              <w:rPr>
                <w:rFonts w:hint="eastAsia" w:ascii="宋体" w:hAnsi="宋体" w:eastAsia="宋体"/>
                <w:color w:val="000000"/>
                <w:shd w:val="clear" w:color="auto" w:fill="FFFFFF"/>
                <w:lang w:eastAsia="zh-CN"/>
              </w:rPr>
            </w:pPr>
          </w:p>
        </w:tc>
        <w:tc>
          <w:tcPr>
            <w:tcW w:w="1304" w:type="dxa"/>
            <w:vMerge w:val="continue"/>
            <w:vAlign w:val="center"/>
          </w:tcPr>
          <w:p>
            <w:pPr>
              <w:jc w:val="center"/>
              <w:rPr>
                <w:rFonts w:hint="eastAsia" w:ascii="宋体" w:hAnsi="宋体" w:eastAsia="宋体"/>
                <w:color w:val="000000"/>
                <w:shd w:val="clear" w:color="auto" w:fill="FFFFFF"/>
                <w:lang w:eastAsia="zh-CN"/>
              </w:rPr>
            </w:pPr>
          </w:p>
        </w:tc>
        <w:tc>
          <w:tcPr>
            <w:tcW w:w="2596" w:type="dxa"/>
            <w:tcBorders>
              <w:top w:val="single" w:color="auto" w:sz="4" w:space="0"/>
            </w:tcBorders>
            <w:vAlign w:val="center"/>
          </w:tcPr>
          <w:p>
            <w:pPr>
              <w:jc w:val="left"/>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val="en-US" w:eastAsia="zh-CN"/>
              </w:rPr>
              <w:t>40尺机检查验服务费</w:t>
            </w:r>
          </w:p>
        </w:tc>
        <w:tc>
          <w:tcPr>
            <w:tcW w:w="1440" w:type="dxa"/>
            <w:tcBorders>
              <w:top w:val="single" w:color="auto" w:sz="4" w:space="0"/>
              <w:right w:val="single" w:color="auto" w:sz="4" w:space="0"/>
            </w:tcBorders>
            <w:vAlign w:val="center"/>
          </w:tcPr>
          <w:p>
            <w:pPr>
              <w:jc w:val="center"/>
              <w:rPr>
                <w:rFonts w:hint="eastAsia" w:ascii="宋体" w:hAnsi="宋体" w:eastAsia="宋体"/>
                <w:color w:val="000000"/>
                <w:shd w:val="clear" w:color="auto" w:fill="FFFFFF"/>
                <w:lang w:val="en-US" w:eastAsia="zh-CN"/>
              </w:rPr>
            </w:pPr>
            <w:r>
              <w:rPr>
                <w:rFonts w:hint="eastAsia" w:ascii="宋体" w:hAnsi="宋体" w:eastAsia="宋体"/>
                <w:color w:val="000000"/>
                <w:shd w:val="clear" w:color="auto" w:fill="FFFFFF"/>
                <w:lang w:val="en-US" w:eastAsia="zh-CN"/>
              </w:rPr>
              <w:t>862元</w:t>
            </w:r>
          </w:p>
        </w:tc>
        <w:tc>
          <w:tcPr>
            <w:tcW w:w="1365" w:type="dxa"/>
            <w:tcBorders>
              <w:top w:val="single" w:color="auto" w:sz="4" w:space="0"/>
              <w:left w:val="single" w:color="auto" w:sz="4" w:space="0"/>
            </w:tcBorders>
            <w:vAlign w:val="center"/>
          </w:tcPr>
          <w:p>
            <w:pPr>
              <w:jc w:val="left"/>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val="en-US" w:eastAsia="zh-CN"/>
              </w:rPr>
              <w:t>FEU</w:t>
            </w:r>
          </w:p>
        </w:tc>
        <w:tc>
          <w:tcPr>
            <w:tcW w:w="2505" w:type="dxa"/>
            <w:tcBorders>
              <w:top w:val="single" w:color="auto" w:sz="4" w:space="0"/>
              <w:right w:val="single" w:color="auto" w:sz="4" w:space="0"/>
            </w:tcBorders>
            <w:vAlign w:val="center"/>
          </w:tcPr>
          <w:p>
            <w:pPr>
              <w:jc w:val="both"/>
              <w:rPr>
                <w:rFonts w:hint="eastAsia" w:ascii="宋体" w:hAnsi="宋体" w:eastAsia="宋体"/>
                <w:color w:val="000000"/>
                <w:shd w:val="clear" w:color="auto" w:fill="FFFFFF"/>
                <w:lang w:eastAsia="zh-CN"/>
              </w:rPr>
            </w:pPr>
            <w:r>
              <w:rPr>
                <w:rFonts w:hint="eastAsia" w:ascii="宋体" w:hAnsi="宋体" w:eastAsia="宋体"/>
                <w:color w:val="000000"/>
                <w:shd w:val="clear" w:color="auto" w:fill="FFFFFF"/>
                <w:lang w:eastAsia="zh-CN"/>
              </w:rPr>
              <w:t>查验包干</w:t>
            </w:r>
          </w:p>
        </w:tc>
        <w:tc>
          <w:tcPr>
            <w:tcW w:w="2520" w:type="dxa"/>
            <w:vMerge w:val="continue"/>
            <w:tcBorders>
              <w:left w:val="single" w:color="auto" w:sz="4" w:space="0"/>
              <w:right w:val="single" w:color="auto" w:sz="4" w:space="0"/>
            </w:tcBorders>
            <w:vAlign w:val="top"/>
          </w:tcPr>
          <w:p>
            <w:pPr>
              <w:jc w:val="left"/>
              <w:rPr>
                <w:rFonts w:hint="eastAsia" w:ascii="宋体" w:hAnsi="宋体" w:eastAsia="宋体"/>
                <w:color w:val="000000"/>
                <w:shd w:val="clear" w:color="auto" w:fill="FFFFFF"/>
                <w:lang w:eastAsia="zh-CN"/>
              </w:rPr>
            </w:pPr>
          </w:p>
        </w:tc>
        <w:tc>
          <w:tcPr>
            <w:tcW w:w="1647" w:type="dxa"/>
            <w:vMerge w:val="continue"/>
            <w:tcBorders>
              <w:left w:val="single" w:color="auto" w:sz="4" w:space="0"/>
            </w:tcBorders>
            <w:vAlign w:val="center"/>
          </w:tcPr>
          <w:p>
            <w:pPr>
              <w:jc w:val="left"/>
              <w:rPr>
                <w:rFonts w:hint="eastAsia" w:ascii="宋体" w:hAnsi="宋体" w:eastAsia="宋体"/>
                <w:color w:val="000000"/>
                <w:shd w:val="clear" w:color="auto" w:fill="FFFFFF"/>
                <w:lang w:eastAsia="zh-CN"/>
              </w:rPr>
            </w:pPr>
          </w:p>
        </w:tc>
      </w:tr>
    </w:tbl>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br w:type="page"/>
      </w:r>
    </w:p>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龙眼港箱站经营人收费目录清单</w:t>
      </w:r>
    </w:p>
    <w:tbl>
      <w:tblPr>
        <w:tblStyle w:val="3"/>
        <w:tblpPr w:leftFromText="180" w:rightFromText="180" w:vertAnchor="text" w:horzAnchor="page" w:tblpX="1014" w:tblpY="249"/>
        <w:tblOverlap w:val="never"/>
        <w:tblW w:w="14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875"/>
        <w:gridCol w:w="2640"/>
        <w:gridCol w:w="2085"/>
        <w:gridCol w:w="1815"/>
        <w:gridCol w:w="252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Align w:val="center"/>
          </w:tcPr>
          <w:p>
            <w:pPr>
              <w:jc w:val="center"/>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sz w:val="32"/>
                <w:szCs w:val="32"/>
                <w:lang w:eastAsia="zh-CN"/>
              </w:rPr>
              <w:t>序号</w:t>
            </w:r>
          </w:p>
        </w:tc>
        <w:tc>
          <w:tcPr>
            <w:tcW w:w="1875" w:type="dxa"/>
            <w:vAlign w:val="center"/>
          </w:tcPr>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收费</w:t>
            </w:r>
          </w:p>
          <w:p>
            <w:pPr>
              <w:jc w:val="center"/>
              <w:rPr>
                <w:rFonts w:hint="eastAsia" w:ascii="黑体" w:hAnsi="黑体" w:eastAsia="黑体" w:cs="黑体"/>
                <w:color w:val="000000"/>
                <w:sz w:val="32"/>
                <w:szCs w:val="32"/>
                <w:shd w:val="clear" w:color="auto" w:fill="FFFFFF"/>
                <w:lang w:eastAsia="zh-CN"/>
              </w:rPr>
            </w:pPr>
            <w:r>
              <w:rPr>
                <w:rFonts w:hint="eastAsia" w:ascii="黑体" w:hAnsi="黑体" w:eastAsia="黑体" w:cs="黑体"/>
                <w:sz w:val="32"/>
                <w:szCs w:val="32"/>
                <w:lang w:eastAsia="zh-CN"/>
              </w:rPr>
              <w:t>主体</w:t>
            </w:r>
          </w:p>
        </w:tc>
        <w:tc>
          <w:tcPr>
            <w:tcW w:w="2640" w:type="dxa"/>
            <w:tcBorders>
              <w:top w:val="single" w:color="auto" w:sz="4" w:space="0"/>
            </w:tcBorders>
            <w:vAlign w:val="center"/>
          </w:tcPr>
          <w:p>
            <w:pPr>
              <w:jc w:val="center"/>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sz w:val="32"/>
                <w:szCs w:val="32"/>
                <w:lang w:eastAsia="zh-CN"/>
              </w:rPr>
              <w:t>项目名称</w:t>
            </w:r>
          </w:p>
        </w:tc>
        <w:tc>
          <w:tcPr>
            <w:tcW w:w="2085" w:type="dxa"/>
            <w:tcBorders>
              <w:top w:val="single" w:color="auto" w:sz="4" w:space="0"/>
              <w:right w:val="single" w:color="auto" w:sz="4" w:space="0"/>
            </w:tcBorders>
            <w:vAlign w:val="center"/>
          </w:tcPr>
          <w:p>
            <w:pPr>
              <w:jc w:val="center"/>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sz w:val="32"/>
                <w:szCs w:val="32"/>
                <w:lang w:eastAsia="zh-CN"/>
              </w:rPr>
              <w:t>收费标准</w:t>
            </w:r>
          </w:p>
        </w:tc>
        <w:tc>
          <w:tcPr>
            <w:tcW w:w="1815" w:type="dxa"/>
            <w:tcBorders>
              <w:top w:val="single" w:color="auto" w:sz="4" w:space="0"/>
              <w:left w:val="single" w:color="auto" w:sz="4" w:space="0"/>
            </w:tcBorders>
            <w:vAlign w:val="center"/>
          </w:tcPr>
          <w:p>
            <w:pPr>
              <w:jc w:val="center"/>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sz w:val="32"/>
                <w:szCs w:val="32"/>
                <w:lang w:eastAsia="zh-CN"/>
              </w:rPr>
              <w:t>计价单位</w:t>
            </w:r>
          </w:p>
        </w:tc>
        <w:tc>
          <w:tcPr>
            <w:tcW w:w="2520" w:type="dxa"/>
            <w:tcBorders>
              <w:top w:val="single" w:color="auto" w:sz="4" w:space="0"/>
              <w:right w:val="single" w:color="auto" w:sz="4" w:space="0"/>
            </w:tcBorders>
            <w:vAlign w:val="center"/>
          </w:tcPr>
          <w:p>
            <w:pPr>
              <w:jc w:val="center"/>
              <w:rPr>
                <w:rFonts w:hint="eastAsia" w:ascii="黑体" w:hAnsi="黑体" w:eastAsia="黑体" w:cs="黑体"/>
                <w:color w:val="000000"/>
                <w:sz w:val="32"/>
                <w:szCs w:val="32"/>
                <w:shd w:val="clear" w:color="auto" w:fill="FFFFFF"/>
                <w:lang w:eastAsia="zh-CN"/>
              </w:rPr>
            </w:pPr>
            <w:r>
              <w:rPr>
                <w:rFonts w:hint="eastAsia" w:ascii="黑体" w:hAnsi="黑体" w:eastAsia="黑体" w:cs="黑体"/>
                <w:sz w:val="32"/>
                <w:szCs w:val="32"/>
                <w:lang w:eastAsia="zh-CN"/>
              </w:rPr>
              <w:t>服务内容</w:t>
            </w:r>
          </w:p>
        </w:tc>
        <w:tc>
          <w:tcPr>
            <w:tcW w:w="2055" w:type="dxa"/>
            <w:tcBorders>
              <w:top w:val="single" w:color="auto" w:sz="4" w:space="0"/>
              <w:left w:val="single" w:color="auto" w:sz="4" w:space="0"/>
            </w:tcBorders>
            <w:vAlign w:val="center"/>
          </w:tcPr>
          <w:p>
            <w:pPr>
              <w:jc w:val="center"/>
              <w:rPr>
                <w:rFonts w:hint="eastAsia" w:ascii="黑体" w:hAnsi="黑体" w:eastAsia="黑体" w:cs="黑体"/>
                <w:color w:val="000000"/>
                <w:sz w:val="32"/>
                <w:szCs w:val="32"/>
                <w:shd w:val="clear" w:color="auto" w:fill="FFFFFF"/>
                <w:lang w:eastAsia="zh-CN"/>
              </w:rPr>
            </w:pPr>
            <w:r>
              <w:rPr>
                <w:rFonts w:hint="eastAsia" w:ascii="黑体" w:hAnsi="黑体" w:eastAsia="黑体" w:cs="黑体"/>
                <w:sz w:val="32"/>
                <w:szCs w:val="32"/>
                <w:lang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restart"/>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1</w:t>
            </w:r>
          </w:p>
        </w:tc>
        <w:tc>
          <w:tcPr>
            <w:tcW w:w="1875" w:type="dxa"/>
            <w:vMerge w:val="restart"/>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西霞口集装箱中转站</w:t>
            </w: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20尺普通进口场站费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470元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港杂包干</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20尺普通进口拆箱费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人工拆箱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20尺普通进口装箱费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工人装箱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20尺普通进口堆存费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30元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TEU/天</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场地堆存</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超10天收费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20尺普通进口装卸费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262元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装卸包干</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20尺普通进口搬移费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60元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机械吊箱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不产生不收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restart"/>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w:t>
            </w:r>
          </w:p>
        </w:tc>
        <w:tc>
          <w:tcPr>
            <w:tcW w:w="1875" w:type="dxa"/>
            <w:vMerge w:val="restart"/>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西霞口集装箱中转站</w:t>
            </w: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40尺普通进口场站费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700元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港杂包干</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40尺普通进口拆箱费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人工拆箱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40尺普通进口装箱费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工人装箱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40尺普通进口堆存费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60元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FEU/天</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场地堆存</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超10天收费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40尺普通进口装卸费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393元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装卸包干</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40尺普通进口搬移费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120元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机械吊箱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不产生不收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restart"/>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3</w:t>
            </w:r>
          </w:p>
        </w:tc>
        <w:tc>
          <w:tcPr>
            <w:tcW w:w="1875" w:type="dxa"/>
            <w:vMerge w:val="restart"/>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西霞口集装箱中转站</w:t>
            </w: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20尺冷冻进口场站费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520元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港杂包干</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20尺冷冻进口拆箱费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人工拆箱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20尺冷冻进口装箱费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工人装箱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20尺冷冻进口堆存费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30元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TEU/天</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场地堆存</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超10天收费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20尺冷冻进口装卸费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288元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装卸包干</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20尺冷冻进口搬移费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60元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机械吊箱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不产生不收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20尺冷冻进口挂机费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450元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TEU/天</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挂机制冷</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不产生不收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20尺冷冻进口制冷费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80元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TEU/天</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插电制冷</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超1天收费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restart"/>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w:t>
            </w:r>
          </w:p>
        </w:tc>
        <w:tc>
          <w:tcPr>
            <w:tcW w:w="1875" w:type="dxa"/>
            <w:vMerge w:val="restart"/>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西霞口集装箱中转站</w:t>
            </w: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40尺冷冻进口场站费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800元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港杂包干</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40尺冷冻进口拆箱费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人工拆箱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40尺冷冻进口装箱费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工人装箱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40尺冷冻进口堆存费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60元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FEU/天</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场地堆存</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超10天收费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40尺冷冻进口装卸费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433元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装卸包干</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40尺冷冻进口搬移费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120元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机械吊箱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不产生不收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40尺冷冻进口挂机费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450元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FEU/天</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挂机制冷</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不产生不收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40尺冷冻进口制冷费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120元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FEU/天</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插电制冷</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超1天收费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restart"/>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5</w:t>
            </w:r>
          </w:p>
        </w:tc>
        <w:tc>
          <w:tcPr>
            <w:tcW w:w="1875" w:type="dxa"/>
            <w:vMerge w:val="restart"/>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西霞口集装箱中转站</w:t>
            </w: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20尺普通出口场站费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370元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港杂包干</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20尺普通出口拆箱费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人工拆箱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top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20尺普通出口装箱费</w:t>
            </w:r>
          </w:p>
        </w:tc>
        <w:tc>
          <w:tcPr>
            <w:tcW w:w="2085" w:type="dxa"/>
            <w:tcBorders>
              <w:top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200元</w:t>
            </w:r>
          </w:p>
        </w:tc>
        <w:tc>
          <w:tcPr>
            <w:tcW w:w="1815" w:type="dxa"/>
            <w:tcBorders>
              <w:top w:val="single" w:color="auto" w:sz="4" w:space="0"/>
              <w:lef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top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工人装箱</w:t>
            </w:r>
          </w:p>
        </w:tc>
        <w:tc>
          <w:tcPr>
            <w:tcW w:w="2055" w:type="dxa"/>
            <w:tcBorders>
              <w:top w:val="single" w:color="auto" w:sz="4" w:space="0"/>
              <w:left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20尺普通出口堆存费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30元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TEU/天</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场地堆存</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超10天收费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20尺普通出口装卸费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262元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装卸包干</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tcBorders>
              <w:bottom w:val="nil"/>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tcBorders>
              <w:bottom w:val="nil"/>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20尺普通出口搬移费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60元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机械吊箱</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不产生不收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trPr>
        <w:tc>
          <w:tcPr>
            <w:tcW w:w="1064" w:type="dxa"/>
            <w:vMerge w:val="restart"/>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6</w:t>
            </w:r>
          </w:p>
        </w:tc>
        <w:tc>
          <w:tcPr>
            <w:tcW w:w="1875" w:type="dxa"/>
            <w:vMerge w:val="restart"/>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西霞口集装箱中转站</w:t>
            </w: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40尺普通出口场站费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570元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港杂包干</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40尺普通出口拆箱费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人工拆箱</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40尺普通出口装箱费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工人装箱</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40尺普通出口堆存费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60元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FEU/天</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场地堆存</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超10天收费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40尺普通出口装卸费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393元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装卸包干</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tcBorders>
              <w:bottom w:val="nil"/>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tcBorders>
              <w:bottom w:val="nil"/>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40尺普通出口搬移费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120元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机械吊箱</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不产生不收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restart"/>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7</w:t>
            </w:r>
          </w:p>
        </w:tc>
        <w:tc>
          <w:tcPr>
            <w:tcW w:w="1875" w:type="dxa"/>
            <w:vMerge w:val="restart"/>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西霞口集装箱中转站</w:t>
            </w: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20尺冷冻出口场站费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420元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港杂包干</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20尺冷冻出口拆箱费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人工拆箱</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20尺冷冻出口装箱费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工人装箱</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20尺冷冻出口堆存费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30元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TEU/天</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场地堆存</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超10天收费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20尺冷冻出口装卸费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288元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装卸包干</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20尺冷冻出口搬移费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60元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机械吊箱</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不产生不收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20尺冷冻出口挂机费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450元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TEU/天</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挂机制冷</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不产生不收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tcBorders>
              <w:bottom w:val="nil"/>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tcBorders>
              <w:bottom w:val="nil"/>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20尺冷冻出口制冷费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80元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TEU/天</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插电制冷</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超1天收费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restart"/>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8</w:t>
            </w:r>
          </w:p>
        </w:tc>
        <w:tc>
          <w:tcPr>
            <w:tcW w:w="1875" w:type="dxa"/>
            <w:vMerge w:val="restart"/>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西霞口集装箱中转站</w:t>
            </w: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40尺冷冻出口场站费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670元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港杂包干</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40尺冷冻出口拆箱费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人工拆箱</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40尺冷冻出口装箱费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工人装箱</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40尺冷冻出口堆存费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60元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FEU/天</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场地堆存</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超10天收费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40尺冷冻出口装卸费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433元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装卸包干</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40尺冷冻出口搬移费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120元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机械吊箱</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不产生不收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40尺冷冻出口挂机费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450元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FEU/天</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挂机制冷</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不产生不收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tcBorders>
              <w:bottom w:val="nil"/>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tcBorders>
              <w:bottom w:val="nil"/>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40尺冷冻出口制冷费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120元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FEU/天</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插电制冷</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超1天收费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restart"/>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9</w:t>
            </w:r>
          </w:p>
        </w:tc>
        <w:tc>
          <w:tcPr>
            <w:tcW w:w="1875" w:type="dxa"/>
            <w:vMerge w:val="restart"/>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西霞口集装箱中转站</w:t>
            </w: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20尺普通空箱装卸费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181元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港杂包干</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20尺冷冻空箱装卸费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200元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TEU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港杂包干</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40尺普通空箱装卸费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272元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港杂包干</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064" w:type="dxa"/>
            <w:vMerge w:val="continue"/>
            <w:tcBorders>
              <w:bottom w:val="nil"/>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p>
        </w:tc>
        <w:tc>
          <w:tcPr>
            <w:tcW w:w="1875" w:type="dxa"/>
            <w:vMerge w:val="continue"/>
            <w:tcBorders>
              <w:bottom w:val="nil"/>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c>
          <w:tcPr>
            <w:tcW w:w="2640" w:type="dxa"/>
            <w:tcBorders>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40尺冷冻空箱装卸费</w:t>
            </w:r>
          </w:p>
        </w:tc>
        <w:tc>
          <w:tcPr>
            <w:tcW w:w="2085" w:type="dxa"/>
            <w:tcBorders>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300元</w:t>
            </w:r>
          </w:p>
        </w:tc>
        <w:tc>
          <w:tcPr>
            <w:tcW w:w="1815" w:type="dxa"/>
            <w:tcBorders>
              <w:left w:val="single" w:color="auto" w:sz="4" w:space="0"/>
              <w:bottom w:val="single" w:color="auto" w:sz="4" w:space="0"/>
            </w:tcBorders>
            <w:vAlign w:val="center"/>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FEU</w:t>
            </w:r>
          </w:p>
        </w:tc>
        <w:tc>
          <w:tcPr>
            <w:tcW w:w="2520" w:type="dxa"/>
            <w:tcBorders>
              <w:bottom w:val="single" w:color="auto" w:sz="4" w:space="0"/>
              <w:right w:val="single" w:color="auto" w:sz="4" w:space="0"/>
            </w:tcBorders>
            <w:vAlign w:val="top"/>
          </w:tcPr>
          <w:p>
            <w:pPr>
              <w:widowControl/>
              <w:jc w:val="center"/>
              <w:rPr>
                <w:rFonts w:hint="eastAsia" w:ascii="宋体" w:hAnsi="宋体" w:eastAsia="宋体" w:cs="Times New Roman"/>
                <w:color w:val="000000"/>
                <w:kern w:val="0"/>
                <w:sz w:val="24"/>
                <w:shd w:val="clear" w:color="auto" w:fill="FFFFFF"/>
                <w:lang w:val="en-US" w:eastAsia="zh-CN"/>
              </w:rPr>
            </w:pPr>
            <w:r>
              <w:rPr>
                <w:rFonts w:hint="eastAsia" w:ascii="宋体" w:hAnsi="宋体" w:eastAsia="宋体" w:cs="Times New Roman"/>
                <w:color w:val="000000"/>
                <w:kern w:val="0"/>
                <w:sz w:val="24"/>
                <w:shd w:val="clear" w:color="auto" w:fill="FFFFFF"/>
                <w:lang w:val="en-US" w:eastAsia="zh-CN"/>
              </w:rPr>
              <w:t>港杂包干</w:t>
            </w:r>
          </w:p>
        </w:tc>
        <w:tc>
          <w:tcPr>
            <w:tcW w:w="2055" w:type="dxa"/>
            <w:tcBorders>
              <w:left w:val="single" w:color="auto" w:sz="4" w:space="0"/>
              <w:bottom w:val="single" w:color="auto" w:sz="4" w:space="0"/>
            </w:tcBorders>
            <w:vAlign w:val="center"/>
          </w:tcPr>
          <w:p>
            <w:pPr>
              <w:widowControl/>
              <w:jc w:val="left"/>
              <w:rPr>
                <w:rFonts w:hint="eastAsia" w:ascii="宋体" w:hAnsi="宋体" w:eastAsia="宋体" w:cs="Times New Roman"/>
                <w:color w:val="000000"/>
                <w:kern w:val="0"/>
                <w:sz w:val="24"/>
                <w:shd w:val="clear" w:color="auto" w:fill="FFFFFF"/>
                <w:lang w:val="en-US" w:eastAsia="zh-CN"/>
              </w:rPr>
            </w:pPr>
          </w:p>
        </w:tc>
      </w:tr>
    </w:tbl>
    <w:p>
      <w:pPr>
        <w:jc w:val="both"/>
        <w:rPr>
          <w:rFonts w:hint="eastAsia" w:ascii="方正仿宋_GBK" w:eastAsia="方正仿宋_GBK"/>
          <w:szCs w:val="32"/>
          <w:lang w:eastAsia="zh-CN"/>
        </w:rPr>
      </w:pPr>
    </w:p>
    <w:p>
      <w:pPr>
        <w:jc w:val="both"/>
        <w:rPr>
          <w:rFonts w:hint="eastAsia" w:ascii="方正仿宋_GBK" w:eastAsia="方正仿宋_GBK"/>
          <w:szCs w:val="32"/>
          <w:lang w:eastAsia="zh-CN"/>
        </w:rPr>
      </w:pPr>
      <w:r>
        <w:rPr>
          <w:rFonts w:hint="eastAsia" w:ascii="方正仿宋_GBK" w:eastAsia="方正仿宋_GBK"/>
          <w:szCs w:val="32"/>
          <w:lang w:eastAsia="zh-CN"/>
        </w:rPr>
        <w:t>注：1.行政事业性收费、政府性基金、实行政府定价（含政府指导价）的经营服务性收费适用本表。</w:t>
      </w:r>
    </w:p>
    <w:p>
      <w:pPr>
        <w:jc w:val="both"/>
        <w:rPr>
          <w:rFonts w:hint="eastAsia" w:ascii="方正仿宋_GBK" w:eastAsia="方正仿宋_GBK"/>
          <w:szCs w:val="32"/>
          <w:lang w:eastAsia="zh-CN"/>
        </w:rPr>
      </w:pPr>
      <w:r>
        <w:rPr>
          <w:rFonts w:hint="eastAsia" w:ascii="方正仿宋_GBK" w:eastAsia="方正仿宋_GBK"/>
          <w:szCs w:val="32"/>
          <w:lang w:eastAsia="zh-CN"/>
        </w:rPr>
        <w:t xml:space="preserve">    2.收费形式是指该项收费是属于行政事业性收费、政府性基金或经营服务性收费。其中，属于经营服务性收费的项目，按实际情况分别填写“政府定价”或“政府指导价”。</w:t>
      </w:r>
    </w:p>
    <w:p>
      <w:pPr>
        <w:jc w:val="both"/>
        <w:rPr>
          <w:rFonts w:hint="eastAsia" w:ascii="方正仿宋_GBK" w:eastAsia="方正仿宋_GBK"/>
          <w:szCs w:val="32"/>
          <w:lang w:eastAsia="zh-CN"/>
        </w:rPr>
      </w:pPr>
      <w:r>
        <w:rPr>
          <w:rFonts w:hint="eastAsia" w:ascii="方正仿宋_GBK" w:eastAsia="方正仿宋_GBK"/>
          <w:szCs w:val="32"/>
          <w:lang w:eastAsia="zh-CN"/>
        </w:rPr>
        <w:t xml:space="preserve">    3.在收费标准中应注明进口或出口。</w:t>
      </w:r>
      <w:bookmarkStart w:id="0" w:name="_GoBack"/>
      <w:bookmarkEnd w:id="0"/>
    </w:p>
    <w:p>
      <w:pPr>
        <w:jc w:val="both"/>
        <w:rPr>
          <w:rFonts w:hint="eastAsia" w:ascii="方正仿宋_GBK" w:eastAsia="方正仿宋_GBK"/>
          <w:szCs w:val="32"/>
          <w:lang w:eastAsia="zh-CN"/>
        </w:rPr>
      </w:pPr>
      <w:r>
        <w:rPr>
          <w:rFonts w:hint="eastAsia" w:ascii="方正仿宋_GBK" w:eastAsia="方正仿宋_GBK"/>
          <w:szCs w:val="32"/>
          <w:lang w:eastAsia="zh-CN"/>
        </w:rPr>
        <w:t xml:space="preserve">    4.项目名称有增加或者已列项目在本口岸不收取的，可以增删。</w:t>
      </w:r>
    </w:p>
    <w:p>
      <w:pPr>
        <w:ind w:firstLine="420" w:firstLineChars="200"/>
      </w:pPr>
      <w:r>
        <w:rPr>
          <w:rFonts w:hint="eastAsia" w:ascii="方正仿宋_GBK" w:eastAsia="方正仿宋_GBK"/>
          <w:szCs w:val="32"/>
          <w:lang w:eastAsia="zh-CN"/>
        </w:rPr>
        <w:t>5.服务内容、收费形式及依据供各地填写时参考，不准确的地方可以修改。没有的要补充完善。</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96697"/>
    <w:rsid w:val="1CD51543"/>
    <w:rsid w:val="29FB6244"/>
    <w:rsid w:val="57530016"/>
    <w:rsid w:val="6D535020"/>
    <w:rsid w:val="7D09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2018-11-15T07:04:00Z</dcterms:created>
  <dc:creator>Administrator</dc:creator>
  <cp:lastModifiedBy>Administrator</cp:lastModifiedBy>
  <dcterms:modified xsi:type="dcterms:W3CDTF">2018-11-26T08:22:19Z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